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863F782" w14:textId="77777777" w:rsidR="00BC4395" w:rsidRPr="00760174" w:rsidRDefault="00BC4395">
      <w:pPr>
        <w:widowControl w:val="0"/>
        <w:contextualSpacing w:val="0"/>
        <w:jc w:val="right"/>
        <w:rPr>
          <w:rFonts w:asciiTheme="majorHAnsi" w:hAnsiTheme="majorHAnsi"/>
          <w:b/>
          <w:color w:val="5B9BD5" w:themeColor="accent1"/>
          <w:sz w:val="32"/>
          <w:szCs w:val="26"/>
        </w:rPr>
      </w:pPr>
    </w:p>
    <w:p w14:paraId="4E68DB04" w14:textId="2E1FAD0B" w:rsidR="00C36167" w:rsidRDefault="00757BF7" w:rsidP="00410E6A">
      <w:pPr>
        <w:widowControl w:val="0"/>
        <w:contextualSpacing w:val="0"/>
        <w:jc w:val="center"/>
        <w:rPr>
          <w:rFonts w:ascii="Arial" w:hAnsi="Arial" w:cs="Arial"/>
          <w:b/>
          <w:color w:val="5B9BD5" w:themeColor="accent1"/>
          <w:sz w:val="36"/>
          <w:szCs w:val="26"/>
        </w:rPr>
      </w:pPr>
      <w:r w:rsidRPr="00410E6A">
        <w:rPr>
          <w:rFonts w:ascii="Arial" w:hAnsi="Arial" w:cs="Arial"/>
          <w:b/>
          <w:color w:val="5B9BD5" w:themeColor="accent1"/>
          <w:sz w:val="36"/>
          <w:szCs w:val="26"/>
        </w:rPr>
        <w:t xml:space="preserve">Universal </w:t>
      </w:r>
      <w:r w:rsidR="003F4F2D">
        <w:rPr>
          <w:rFonts w:ascii="Arial" w:hAnsi="Arial" w:cs="Arial"/>
          <w:b/>
          <w:color w:val="5B9BD5" w:themeColor="accent1"/>
          <w:sz w:val="36"/>
          <w:szCs w:val="26"/>
        </w:rPr>
        <w:t>Applicability</w:t>
      </w:r>
      <w:r w:rsidR="003F4F2D" w:rsidRPr="00410E6A">
        <w:rPr>
          <w:rFonts w:ascii="Arial" w:hAnsi="Arial" w:cs="Arial"/>
          <w:b/>
          <w:color w:val="5B9BD5" w:themeColor="accent1"/>
          <w:sz w:val="36"/>
          <w:szCs w:val="26"/>
        </w:rPr>
        <w:t xml:space="preserve"> </w:t>
      </w:r>
      <w:r w:rsidR="001A10CB" w:rsidRPr="00410E6A">
        <w:rPr>
          <w:rFonts w:ascii="Arial" w:hAnsi="Arial" w:cs="Arial"/>
          <w:b/>
          <w:color w:val="5B9BD5" w:themeColor="accent1"/>
          <w:sz w:val="36"/>
          <w:szCs w:val="26"/>
        </w:rPr>
        <w:t xml:space="preserve">of </w:t>
      </w:r>
      <w:r w:rsidR="00C36167" w:rsidRPr="00410E6A">
        <w:rPr>
          <w:rFonts w:ascii="Arial" w:hAnsi="Arial" w:cs="Arial"/>
          <w:b/>
          <w:color w:val="5B9BD5" w:themeColor="accent1"/>
          <w:sz w:val="36"/>
          <w:szCs w:val="26"/>
        </w:rPr>
        <w:t>Proxies A, D and F</w:t>
      </w:r>
    </w:p>
    <w:p w14:paraId="0E1B1F5B" w14:textId="2F62C2C5" w:rsidR="003F4F2D" w:rsidRDefault="00C36167" w:rsidP="00410E6A">
      <w:pPr>
        <w:widowControl w:val="0"/>
        <w:contextualSpacing w:val="0"/>
        <w:jc w:val="center"/>
        <w:rPr>
          <w:rFonts w:ascii="Arial" w:hAnsi="Arial" w:cs="Arial"/>
          <w:b/>
          <w:color w:val="5B9BD5" w:themeColor="accent1"/>
          <w:sz w:val="36"/>
          <w:szCs w:val="26"/>
        </w:rPr>
      </w:pPr>
      <w:r>
        <w:rPr>
          <w:rFonts w:ascii="Arial" w:hAnsi="Arial" w:cs="Arial"/>
          <w:b/>
          <w:color w:val="5B9BD5" w:themeColor="accent1"/>
          <w:sz w:val="36"/>
          <w:szCs w:val="26"/>
        </w:rPr>
        <w:t>for the compilation of</w:t>
      </w:r>
      <w:r w:rsidR="00757BF7" w:rsidRPr="00410E6A">
        <w:rPr>
          <w:rFonts w:ascii="Arial" w:hAnsi="Arial" w:cs="Arial"/>
          <w:b/>
          <w:color w:val="5B9BD5" w:themeColor="accent1"/>
          <w:sz w:val="36"/>
          <w:szCs w:val="26"/>
        </w:rPr>
        <w:t xml:space="preserve"> </w:t>
      </w:r>
      <w:r w:rsidR="0099487C" w:rsidRPr="00410E6A">
        <w:rPr>
          <w:rFonts w:ascii="Arial" w:hAnsi="Arial" w:cs="Arial"/>
          <w:b/>
          <w:color w:val="5B9BD5" w:themeColor="accent1"/>
          <w:sz w:val="36"/>
          <w:szCs w:val="26"/>
        </w:rPr>
        <w:t xml:space="preserve">SDG </w:t>
      </w:r>
      <w:r>
        <w:rPr>
          <w:rFonts w:ascii="Arial" w:hAnsi="Arial" w:cs="Arial"/>
          <w:b/>
          <w:color w:val="5B9BD5" w:themeColor="accent1"/>
          <w:sz w:val="36"/>
          <w:szCs w:val="26"/>
        </w:rPr>
        <w:t xml:space="preserve">indicator </w:t>
      </w:r>
      <w:r w:rsidR="001A10CB" w:rsidRPr="00410E6A">
        <w:rPr>
          <w:rFonts w:ascii="Arial" w:hAnsi="Arial" w:cs="Arial"/>
          <w:b/>
          <w:color w:val="5B9BD5" w:themeColor="accent1"/>
          <w:sz w:val="36"/>
          <w:szCs w:val="26"/>
        </w:rPr>
        <w:t>5.</w:t>
      </w:r>
      <w:r w:rsidR="003F4F2D">
        <w:rPr>
          <w:rFonts w:ascii="Arial" w:hAnsi="Arial" w:cs="Arial"/>
          <w:b/>
          <w:color w:val="5B9BD5" w:themeColor="accent1"/>
          <w:sz w:val="36"/>
          <w:szCs w:val="26"/>
        </w:rPr>
        <w:t>a</w:t>
      </w:r>
      <w:r w:rsidR="001A10CB" w:rsidRPr="00410E6A">
        <w:rPr>
          <w:rFonts w:ascii="Arial" w:hAnsi="Arial" w:cs="Arial"/>
          <w:b/>
          <w:color w:val="5B9BD5" w:themeColor="accent1"/>
          <w:sz w:val="36"/>
          <w:szCs w:val="26"/>
        </w:rPr>
        <w:t>.2</w:t>
      </w:r>
      <w:r w:rsidR="00975B2C" w:rsidRPr="00410E6A">
        <w:rPr>
          <w:rFonts w:ascii="Arial" w:hAnsi="Arial" w:cs="Arial"/>
          <w:b/>
          <w:color w:val="5B9BD5" w:themeColor="accent1"/>
          <w:sz w:val="36"/>
          <w:szCs w:val="26"/>
        </w:rPr>
        <w:t xml:space="preserve"> </w:t>
      </w:r>
    </w:p>
    <w:p w14:paraId="418E9377" w14:textId="268DF7A9" w:rsidR="003F4F2D" w:rsidRDefault="003F4F2D" w:rsidP="00410E6A">
      <w:pPr>
        <w:widowControl w:val="0"/>
        <w:contextualSpacing w:val="0"/>
        <w:jc w:val="center"/>
        <w:rPr>
          <w:rFonts w:ascii="Arial" w:hAnsi="Arial" w:cs="Arial"/>
          <w:b/>
          <w:color w:val="5B9BD5" w:themeColor="accent1"/>
          <w:sz w:val="36"/>
          <w:szCs w:val="26"/>
        </w:rPr>
      </w:pPr>
    </w:p>
    <w:p w14:paraId="6C14BD4B" w14:textId="77777777" w:rsidR="0063176D" w:rsidRPr="00410E6A" w:rsidRDefault="003F4F2D" w:rsidP="00410E6A">
      <w:pPr>
        <w:widowControl w:val="0"/>
        <w:contextualSpacing w:val="0"/>
        <w:jc w:val="center"/>
        <w:rPr>
          <w:rFonts w:ascii="Arial" w:hAnsi="Arial" w:cs="Arial"/>
          <w:color w:val="5B9BD5" w:themeColor="accent1"/>
          <w:sz w:val="30"/>
          <w:szCs w:val="26"/>
        </w:rPr>
      </w:pPr>
      <w:r w:rsidRPr="00410E6A">
        <w:rPr>
          <w:rFonts w:ascii="Arial" w:hAnsi="Arial" w:cs="Arial"/>
          <w:b/>
          <w:i/>
          <w:color w:val="5B9BD5" w:themeColor="accent1"/>
          <w:sz w:val="32"/>
          <w:szCs w:val="26"/>
        </w:rPr>
        <w:t>Briefing Note</w:t>
      </w:r>
      <w:r w:rsidR="001A10CB" w:rsidRPr="00410E6A">
        <w:rPr>
          <w:rFonts w:ascii="Arial" w:hAnsi="Arial" w:cs="Arial"/>
          <w:b/>
          <w:color w:val="5B9BD5" w:themeColor="accent1"/>
          <w:sz w:val="32"/>
          <w:szCs w:val="26"/>
        </w:rPr>
        <w:t xml:space="preserve"> </w:t>
      </w:r>
    </w:p>
    <w:p w14:paraId="72AEE2D9" w14:textId="35627D4C" w:rsidR="0063176D" w:rsidRPr="007909E0" w:rsidRDefault="007C59F1">
      <w:pPr>
        <w:widowControl w:val="0"/>
        <w:contextualSpacing w:val="0"/>
        <w:jc w:val="right"/>
        <w:rPr>
          <w:rFonts w:asciiTheme="majorHAnsi" w:hAnsiTheme="majorHAnsi"/>
          <w:color w:val="5B9BD5" w:themeColor="accent1"/>
          <w:sz w:val="26"/>
          <w:szCs w:val="22"/>
        </w:rPr>
      </w:pPr>
      <w:r>
        <w:rPr>
          <w:rFonts w:asciiTheme="majorHAnsi" w:hAnsiTheme="majorHAnsi"/>
          <w:color w:val="5B9BD5" w:themeColor="accent1"/>
          <w:sz w:val="26"/>
          <w:szCs w:val="22"/>
        </w:rPr>
        <w:t xml:space="preserve">8 </w:t>
      </w:r>
      <w:r w:rsidR="001A10CB" w:rsidRPr="007909E0">
        <w:rPr>
          <w:rFonts w:asciiTheme="majorHAnsi" w:hAnsiTheme="majorHAnsi"/>
          <w:color w:val="5B9BD5" w:themeColor="accent1"/>
          <w:sz w:val="26"/>
          <w:szCs w:val="22"/>
        </w:rPr>
        <w:t>Ju</w:t>
      </w:r>
      <w:r>
        <w:rPr>
          <w:rFonts w:asciiTheme="majorHAnsi" w:hAnsiTheme="majorHAnsi"/>
          <w:color w:val="5B9BD5" w:themeColor="accent1"/>
          <w:sz w:val="26"/>
          <w:szCs w:val="22"/>
        </w:rPr>
        <w:t>ly</w:t>
      </w:r>
      <w:r w:rsidR="001A10CB" w:rsidRPr="007909E0">
        <w:rPr>
          <w:rFonts w:asciiTheme="majorHAnsi" w:hAnsiTheme="majorHAnsi"/>
          <w:color w:val="5B9BD5" w:themeColor="accent1"/>
          <w:sz w:val="26"/>
          <w:szCs w:val="22"/>
        </w:rPr>
        <w:t xml:space="preserve"> 2019</w:t>
      </w:r>
    </w:p>
    <w:p w14:paraId="3A41A1BC" w14:textId="77777777" w:rsidR="009812DB" w:rsidRPr="001A10CB" w:rsidRDefault="009812DB" w:rsidP="00CE5508">
      <w:pPr>
        <w:widowControl w:val="0"/>
        <w:ind w:left="0" w:firstLine="0"/>
        <w:contextualSpacing w:val="0"/>
        <w:rPr>
          <w:rFonts w:asciiTheme="minorHAnsi" w:hAnsiTheme="minorHAnsi"/>
          <w:color w:val="000000" w:themeColor="text1"/>
          <w:sz w:val="24"/>
          <w:szCs w:val="24"/>
        </w:rPr>
      </w:pPr>
    </w:p>
    <w:p w14:paraId="02E6695D" w14:textId="77777777" w:rsidR="001A10CB" w:rsidRPr="00B4270F" w:rsidRDefault="001A10CB">
      <w:pPr>
        <w:widowControl w:val="0"/>
        <w:contextualSpacing w:val="0"/>
        <w:rPr>
          <w:rFonts w:ascii="Arial" w:hAnsi="Arial" w:cs="Arial"/>
          <w:b/>
          <w:color w:val="5B9BD5" w:themeColor="accent1"/>
          <w:sz w:val="24"/>
          <w:szCs w:val="24"/>
        </w:rPr>
      </w:pPr>
    </w:p>
    <w:p w14:paraId="5C64D3E0" w14:textId="77777777" w:rsidR="0063176D" w:rsidRPr="007909E0" w:rsidRDefault="00C3264E" w:rsidP="006B356D">
      <w:pPr>
        <w:widowControl w:val="0"/>
        <w:ind w:left="0" w:firstLine="0"/>
        <w:contextualSpacing w:val="0"/>
        <w:rPr>
          <w:rFonts w:ascii="Arial" w:hAnsi="Arial" w:cs="Arial"/>
          <w:color w:val="5B9BD5" w:themeColor="accent1"/>
          <w:sz w:val="22"/>
          <w:szCs w:val="24"/>
        </w:rPr>
      </w:pPr>
      <w:r>
        <w:rPr>
          <w:rFonts w:ascii="Arial" w:hAnsi="Arial" w:cs="Arial"/>
          <w:b/>
          <w:color w:val="5B9BD5" w:themeColor="accent1"/>
          <w:sz w:val="22"/>
          <w:szCs w:val="24"/>
        </w:rPr>
        <w:t>INTRODUCTION</w:t>
      </w:r>
      <w:r w:rsidR="00BC4395" w:rsidRPr="007909E0">
        <w:rPr>
          <w:rFonts w:ascii="Arial" w:hAnsi="Arial" w:cs="Arial"/>
          <w:b/>
          <w:color w:val="5B9BD5" w:themeColor="accent1"/>
          <w:sz w:val="22"/>
          <w:szCs w:val="24"/>
        </w:rPr>
        <w:t xml:space="preserve"> </w:t>
      </w:r>
    </w:p>
    <w:p w14:paraId="23210FF8" w14:textId="77777777" w:rsidR="00C3264E" w:rsidRDefault="00C3264E" w:rsidP="00FF605C">
      <w:pPr>
        <w:ind w:left="0" w:firstLine="0"/>
        <w:rPr>
          <w:rFonts w:ascii="Arial" w:hAnsi="Arial" w:cs="Arial"/>
          <w:color w:val="000000" w:themeColor="text1"/>
          <w:sz w:val="24"/>
          <w:szCs w:val="24"/>
        </w:rPr>
      </w:pPr>
    </w:p>
    <w:p w14:paraId="466E7489" w14:textId="389F8796" w:rsidR="00C3264E" w:rsidRPr="001C0A12" w:rsidRDefault="006A2610" w:rsidP="00B93557">
      <w:pPr>
        <w:ind w:left="0" w:firstLine="0"/>
        <w:rPr>
          <w:rFonts w:ascii="Arial" w:hAnsi="Arial" w:cs="Arial"/>
          <w:color w:val="000000" w:themeColor="text1"/>
          <w:sz w:val="22"/>
          <w:szCs w:val="22"/>
        </w:rPr>
      </w:pPr>
      <w:r>
        <w:rPr>
          <w:rFonts w:ascii="Arial" w:hAnsi="Arial" w:cs="Arial"/>
          <w:color w:val="000000" w:themeColor="text1"/>
          <w:sz w:val="22"/>
          <w:szCs w:val="22"/>
        </w:rPr>
        <w:t xml:space="preserve">This Briefing Note aims to respond to the main concerns raised by several countries following FAO’s letter of 16 November 2018, with which it reached out to National Statistical Offices requesting their </w:t>
      </w:r>
      <w:r w:rsidR="00AD7F00">
        <w:rPr>
          <w:rFonts w:ascii="Arial" w:hAnsi="Arial" w:cs="Arial"/>
          <w:color w:val="000000" w:themeColor="text1"/>
          <w:sz w:val="22"/>
          <w:szCs w:val="22"/>
        </w:rPr>
        <w:t>support</w:t>
      </w:r>
      <w:r>
        <w:rPr>
          <w:rFonts w:ascii="Arial" w:hAnsi="Arial" w:cs="Arial"/>
          <w:color w:val="000000" w:themeColor="text1"/>
          <w:sz w:val="22"/>
          <w:szCs w:val="22"/>
        </w:rPr>
        <w:t xml:space="preserve"> in identifying the responsible institution and focal point for reporting on SDG indicator 5.a.2. This Note will demonstrate that </w:t>
      </w:r>
      <w:r w:rsidR="00DF76EA">
        <w:rPr>
          <w:rFonts w:ascii="Arial" w:hAnsi="Arial" w:cs="Arial"/>
          <w:color w:val="000000" w:themeColor="text1"/>
          <w:sz w:val="22"/>
          <w:szCs w:val="22"/>
        </w:rPr>
        <w:t>prox</w:t>
      </w:r>
      <w:r w:rsidR="007C59F1">
        <w:rPr>
          <w:rFonts w:ascii="Arial" w:hAnsi="Arial" w:cs="Arial"/>
          <w:color w:val="000000" w:themeColor="text1"/>
          <w:sz w:val="22"/>
          <w:szCs w:val="22"/>
        </w:rPr>
        <w:t>y A</w:t>
      </w:r>
      <w:r w:rsidR="007C59F1" w:rsidRPr="007C59F1">
        <w:rPr>
          <w:rFonts w:ascii="Arial" w:hAnsi="Arial" w:cs="Arial"/>
          <w:color w:val="000000" w:themeColor="text1"/>
          <w:sz w:val="22"/>
          <w:szCs w:val="22"/>
        </w:rPr>
        <w:t xml:space="preserve"> </w:t>
      </w:r>
      <w:r w:rsidR="007C59F1">
        <w:rPr>
          <w:rFonts w:ascii="Arial" w:hAnsi="Arial" w:cs="Arial"/>
          <w:color w:val="000000" w:themeColor="text1"/>
          <w:sz w:val="22"/>
          <w:szCs w:val="22"/>
        </w:rPr>
        <w:t>is</w:t>
      </w:r>
      <w:r w:rsidR="007C59F1" w:rsidRPr="001C0A12">
        <w:rPr>
          <w:rFonts w:ascii="Arial" w:hAnsi="Arial" w:cs="Arial"/>
          <w:color w:val="000000" w:themeColor="text1"/>
          <w:sz w:val="22"/>
          <w:szCs w:val="22"/>
        </w:rPr>
        <w:t xml:space="preserve"> </w:t>
      </w:r>
      <w:r w:rsidR="007C59F1">
        <w:rPr>
          <w:rFonts w:ascii="Arial" w:hAnsi="Arial" w:cs="Arial"/>
          <w:color w:val="000000" w:themeColor="text1"/>
          <w:sz w:val="22"/>
          <w:szCs w:val="22"/>
        </w:rPr>
        <w:t>relevant</w:t>
      </w:r>
      <w:r w:rsidR="007C59F1" w:rsidRPr="00384D7B">
        <w:rPr>
          <w:rFonts w:ascii="Arial" w:hAnsi="Arial" w:cs="Arial"/>
          <w:i/>
          <w:color w:val="000000" w:themeColor="text1"/>
          <w:sz w:val="22"/>
          <w:szCs w:val="22"/>
        </w:rPr>
        <w:t xml:space="preserve"> </w:t>
      </w:r>
      <w:r w:rsidR="007C59F1">
        <w:rPr>
          <w:rFonts w:ascii="Arial" w:hAnsi="Arial" w:cs="Arial"/>
          <w:i/>
          <w:color w:val="000000" w:themeColor="text1"/>
          <w:sz w:val="22"/>
          <w:szCs w:val="22"/>
        </w:rPr>
        <w:t>in all countries</w:t>
      </w:r>
      <w:r w:rsidR="007C59F1">
        <w:rPr>
          <w:rFonts w:ascii="Arial" w:hAnsi="Arial" w:cs="Arial"/>
          <w:color w:val="000000" w:themeColor="text1"/>
          <w:sz w:val="22"/>
          <w:szCs w:val="22"/>
        </w:rPr>
        <w:t xml:space="preserve">, </w:t>
      </w:r>
      <w:bookmarkStart w:id="0" w:name="_GoBack"/>
      <w:bookmarkEnd w:id="0"/>
      <w:r w:rsidR="007C59F1">
        <w:rPr>
          <w:rFonts w:ascii="Arial" w:hAnsi="Arial" w:cs="Arial"/>
          <w:color w:val="000000" w:themeColor="text1"/>
          <w:sz w:val="22"/>
          <w:szCs w:val="22"/>
        </w:rPr>
        <w:t xml:space="preserve">whereas proxies D and F are relevant only in countries </w:t>
      </w:r>
      <w:r w:rsidR="007C59F1">
        <w:rPr>
          <w:rFonts w:ascii="Arial" w:hAnsi="Arial" w:cs="Arial"/>
          <w:i/>
          <w:color w:val="000000" w:themeColor="text1"/>
          <w:sz w:val="22"/>
          <w:szCs w:val="22"/>
        </w:rPr>
        <w:t>where</w:t>
      </w:r>
      <w:r w:rsidR="00384D7B">
        <w:rPr>
          <w:rFonts w:ascii="Arial" w:hAnsi="Arial" w:cs="Arial"/>
          <w:i/>
          <w:color w:val="000000" w:themeColor="text1"/>
          <w:sz w:val="22"/>
          <w:szCs w:val="22"/>
        </w:rPr>
        <w:t xml:space="preserve"> </w:t>
      </w:r>
      <w:r w:rsidR="007C59F1">
        <w:rPr>
          <w:rFonts w:ascii="Arial" w:hAnsi="Arial" w:cs="Arial"/>
          <w:i/>
          <w:color w:val="000000" w:themeColor="text1"/>
          <w:sz w:val="22"/>
          <w:szCs w:val="22"/>
        </w:rPr>
        <w:t>gender d</w:t>
      </w:r>
      <w:r w:rsidR="00384D7B">
        <w:rPr>
          <w:rFonts w:ascii="Arial" w:hAnsi="Arial" w:cs="Arial"/>
          <w:i/>
          <w:color w:val="000000" w:themeColor="text1"/>
          <w:sz w:val="22"/>
          <w:szCs w:val="22"/>
        </w:rPr>
        <w:t>isparities in land ownership still exist</w:t>
      </w:r>
      <w:r w:rsidR="00CB38BD">
        <w:rPr>
          <w:rFonts w:ascii="Arial" w:hAnsi="Arial" w:cs="Arial"/>
          <w:color w:val="000000" w:themeColor="text1"/>
          <w:sz w:val="22"/>
          <w:szCs w:val="22"/>
        </w:rPr>
        <w:t>.</w:t>
      </w:r>
    </w:p>
    <w:p w14:paraId="167984A3" w14:textId="77777777" w:rsidR="00C3264E" w:rsidRDefault="00C3264E" w:rsidP="00B93557">
      <w:pPr>
        <w:ind w:left="0" w:firstLine="0"/>
        <w:rPr>
          <w:rFonts w:ascii="Arial" w:hAnsi="Arial" w:cs="Arial"/>
          <w:color w:val="000000" w:themeColor="text1"/>
          <w:sz w:val="24"/>
          <w:szCs w:val="24"/>
        </w:rPr>
      </w:pPr>
    </w:p>
    <w:p w14:paraId="4EE22506" w14:textId="77777777" w:rsidR="003035CB" w:rsidRPr="00264DA1" w:rsidRDefault="001C0A12" w:rsidP="00B93557">
      <w:pPr>
        <w:ind w:left="0" w:firstLine="0"/>
        <w:rPr>
          <w:rFonts w:ascii="Arial" w:hAnsi="Arial" w:cs="Arial"/>
          <w:color w:val="000000" w:themeColor="text1"/>
          <w:sz w:val="22"/>
          <w:szCs w:val="22"/>
        </w:rPr>
      </w:pPr>
      <w:r>
        <w:rPr>
          <w:rFonts w:ascii="Arial" w:hAnsi="Arial" w:cs="Arial"/>
          <w:color w:val="000000" w:themeColor="text1"/>
          <w:sz w:val="22"/>
          <w:szCs w:val="22"/>
        </w:rPr>
        <w:t>By way of introduction, we acknowledge that most countries</w:t>
      </w:r>
      <w:r w:rsidR="00AD09C0">
        <w:rPr>
          <w:rFonts w:ascii="Arial" w:hAnsi="Arial" w:cs="Arial"/>
          <w:color w:val="000000" w:themeColor="text1"/>
          <w:sz w:val="22"/>
          <w:szCs w:val="22"/>
        </w:rPr>
        <w:t>,</w:t>
      </w:r>
      <w:r>
        <w:rPr>
          <w:rFonts w:ascii="Arial" w:hAnsi="Arial" w:cs="Arial"/>
          <w:color w:val="000000" w:themeColor="text1"/>
          <w:sz w:val="22"/>
          <w:szCs w:val="22"/>
        </w:rPr>
        <w:t xml:space="preserve"> </w:t>
      </w:r>
      <w:r w:rsidR="00AD09C0">
        <w:rPr>
          <w:rFonts w:ascii="Arial" w:hAnsi="Arial" w:cs="Arial"/>
          <w:color w:val="000000" w:themeColor="text1"/>
          <w:sz w:val="22"/>
          <w:szCs w:val="22"/>
        </w:rPr>
        <w:t>irrespective of their level of economic development,</w:t>
      </w:r>
      <w:r w:rsidR="00DF69CC">
        <w:rPr>
          <w:rFonts w:ascii="Arial" w:hAnsi="Arial" w:cs="Arial"/>
          <w:color w:val="000000" w:themeColor="text1"/>
          <w:sz w:val="22"/>
          <w:szCs w:val="22"/>
        </w:rPr>
        <w:t xml:space="preserve"> </w:t>
      </w:r>
      <w:r>
        <w:rPr>
          <w:rFonts w:ascii="Arial" w:hAnsi="Arial" w:cs="Arial"/>
          <w:color w:val="000000" w:themeColor="text1"/>
          <w:sz w:val="22"/>
          <w:szCs w:val="22"/>
        </w:rPr>
        <w:t>have achieved significant steps in addressing w</w:t>
      </w:r>
      <w:r w:rsidR="00F86174">
        <w:rPr>
          <w:rFonts w:ascii="Arial" w:hAnsi="Arial" w:cs="Arial"/>
          <w:color w:val="000000" w:themeColor="text1"/>
          <w:sz w:val="22"/>
          <w:szCs w:val="22"/>
        </w:rPr>
        <w:t>omen’s equal rights</w:t>
      </w:r>
      <w:r w:rsidR="00DF76EA">
        <w:rPr>
          <w:rFonts w:ascii="Arial" w:hAnsi="Arial" w:cs="Arial"/>
          <w:color w:val="000000" w:themeColor="text1"/>
          <w:sz w:val="22"/>
          <w:szCs w:val="22"/>
        </w:rPr>
        <w:t xml:space="preserve"> in the legal framework</w:t>
      </w:r>
      <w:r w:rsidR="001E6AEC">
        <w:rPr>
          <w:rFonts w:ascii="Arial" w:hAnsi="Arial" w:cs="Arial"/>
          <w:color w:val="000000" w:themeColor="text1"/>
          <w:sz w:val="22"/>
          <w:szCs w:val="22"/>
        </w:rPr>
        <w:t>.</w:t>
      </w:r>
      <w:r w:rsidR="00DF76EA">
        <w:rPr>
          <w:rFonts w:ascii="Arial" w:hAnsi="Arial" w:cs="Arial"/>
          <w:color w:val="000000" w:themeColor="text1"/>
          <w:sz w:val="22"/>
          <w:szCs w:val="22"/>
        </w:rPr>
        <w:t xml:space="preserve"> In recent years,</w:t>
      </w:r>
      <w:r w:rsidR="00F86174">
        <w:rPr>
          <w:rFonts w:ascii="Arial" w:hAnsi="Arial" w:cs="Arial"/>
          <w:color w:val="000000" w:themeColor="text1"/>
          <w:sz w:val="22"/>
          <w:szCs w:val="22"/>
        </w:rPr>
        <w:t xml:space="preserve"> </w:t>
      </w:r>
      <w:r w:rsidR="00DF76EA">
        <w:rPr>
          <w:rFonts w:ascii="Arial" w:hAnsi="Arial" w:cs="Arial"/>
          <w:color w:val="000000" w:themeColor="text1"/>
          <w:sz w:val="22"/>
          <w:szCs w:val="22"/>
        </w:rPr>
        <w:t>g</w:t>
      </w:r>
      <w:r w:rsidR="002B7F25">
        <w:rPr>
          <w:rFonts w:ascii="Arial" w:hAnsi="Arial" w:cs="Arial"/>
          <w:color w:val="000000" w:themeColor="text1"/>
          <w:sz w:val="22"/>
          <w:szCs w:val="22"/>
        </w:rPr>
        <w:t xml:space="preserve">eneral </w:t>
      </w:r>
      <w:r w:rsidR="00F86174">
        <w:rPr>
          <w:rFonts w:ascii="Arial" w:hAnsi="Arial" w:cs="Arial"/>
          <w:color w:val="000000" w:themeColor="text1"/>
          <w:sz w:val="22"/>
          <w:szCs w:val="22"/>
        </w:rPr>
        <w:t>pro</w:t>
      </w:r>
      <w:r>
        <w:rPr>
          <w:rFonts w:ascii="Arial" w:hAnsi="Arial" w:cs="Arial"/>
          <w:color w:val="000000" w:themeColor="text1"/>
          <w:sz w:val="22"/>
          <w:szCs w:val="22"/>
        </w:rPr>
        <w:t xml:space="preserve">visions </w:t>
      </w:r>
      <w:r w:rsidR="002B7F25">
        <w:rPr>
          <w:rFonts w:ascii="Arial" w:hAnsi="Arial" w:cs="Arial"/>
          <w:color w:val="000000" w:themeColor="text1"/>
          <w:sz w:val="22"/>
          <w:szCs w:val="22"/>
        </w:rPr>
        <w:t>support</w:t>
      </w:r>
      <w:r w:rsidR="00DF76EA">
        <w:rPr>
          <w:rFonts w:ascii="Arial" w:hAnsi="Arial" w:cs="Arial"/>
          <w:color w:val="000000" w:themeColor="text1"/>
          <w:sz w:val="22"/>
          <w:szCs w:val="22"/>
        </w:rPr>
        <w:t>ing</w:t>
      </w:r>
      <w:r>
        <w:rPr>
          <w:rFonts w:ascii="Arial" w:hAnsi="Arial" w:cs="Arial"/>
          <w:color w:val="000000" w:themeColor="text1"/>
          <w:sz w:val="22"/>
          <w:szCs w:val="22"/>
        </w:rPr>
        <w:t xml:space="preserve"> e</w:t>
      </w:r>
      <w:r w:rsidRPr="001C0A12">
        <w:rPr>
          <w:rFonts w:ascii="Arial" w:hAnsi="Arial" w:cs="Arial"/>
          <w:color w:val="000000" w:themeColor="text1"/>
          <w:sz w:val="22"/>
          <w:szCs w:val="22"/>
        </w:rPr>
        <w:t>quality for women and men</w:t>
      </w:r>
      <w:r w:rsidR="00DF76EA">
        <w:rPr>
          <w:rFonts w:ascii="Arial" w:hAnsi="Arial" w:cs="Arial"/>
          <w:color w:val="000000" w:themeColor="text1"/>
          <w:sz w:val="22"/>
          <w:szCs w:val="22"/>
        </w:rPr>
        <w:t>,</w:t>
      </w:r>
      <w:r>
        <w:rPr>
          <w:rFonts w:ascii="Arial" w:hAnsi="Arial" w:cs="Arial"/>
          <w:color w:val="000000" w:themeColor="text1"/>
          <w:sz w:val="22"/>
          <w:szCs w:val="22"/>
        </w:rPr>
        <w:t xml:space="preserve"> </w:t>
      </w:r>
      <w:r w:rsidR="00DF76EA">
        <w:rPr>
          <w:rFonts w:ascii="Arial" w:hAnsi="Arial" w:cs="Arial"/>
          <w:color w:val="000000" w:themeColor="text1"/>
          <w:sz w:val="22"/>
          <w:szCs w:val="22"/>
        </w:rPr>
        <w:t xml:space="preserve">and/or </w:t>
      </w:r>
      <w:r w:rsidR="00F86174">
        <w:rPr>
          <w:rFonts w:ascii="Arial" w:hAnsi="Arial" w:cs="Arial"/>
          <w:color w:val="000000" w:themeColor="text1"/>
          <w:sz w:val="22"/>
          <w:szCs w:val="22"/>
        </w:rPr>
        <w:t>non-discrimination</w:t>
      </w:r>
      <w:r>
        <w:rPr>
          <w:rFonts w:ascii="Arial" w:hAnsi="Arial" w:cs="Arial"/>
          <w:color w:val="000000" w:themeColor="text1"/>
          <w:sz w:val="22"/>
          <w:szCs w:val="22"/>
        </w:rPr>
        <w:t xml:space="preserve"> have been </w:t>
      </w:r>
      <w:r w:rsidR="002B7F25">
        <w:rPr>
          <w:rFonts w:ascii="Arial" w:hAnsi="Arial" w:cs="Arial"/>
          <w:color w:val="000000" w:themeColor="text1"/>
          <w:sz w:val="22"/>
          <w:szCs w:val="22"/>
        </w:rPr>
        <w:t xml:space="preserve">included </w:t>
      </w:r>
      <w:r>
        <w:rPr>
          <w:rFonts w:ascii="Arial" w:hAnsi="Arial" w:cs="Arial"/>
          <w:color w:val="000000" w:themeColor="text1"/>
          <w:sz w:val="22"/>
          <w:szCs w:val="22"/>
        </w:rPr>
        <w:t>in</w:t>
      </w:r>
      <w:r w:rsidR="00DF76EA">
        <w:rPr>
          <w:rFonts w:ascii="Arial" w:hAnsi="Arial" w:cs="Arial"/>
          <w:color w:val="000000" w:themeColor="text1"/>
          <w:sz w:val="22"/>
          <w:szCs w:val="22"/>
        </w:rPr>
        <w:t xml:space="preserve"> many</w:t>
      </w:r>
      <w:r>
        <w:rPr>
          <w:rFonts w:ascii="Arial" w:hAnsi="Arial" w:cs="Arial"/>
          <w:color w:val="000000" w:themeColor="text1"/>
          <w:sz w:val="22"/>
          <w:szCs w:val="22"/>
        </w:rPr>
        <w:t xml:space="preserve"> national Constitutions</w:t>
      </w:r>
      <w:r w:rsidR="002B7F25">
        <w:rPr>
          <w:rFonts w:ascii="Arial" w:hAnsi="Arial" w:cs="Arial"/>
          <w:color w:val="000000" w:themeColor="text1"/>
          <w:sz w:val="22"/>
          <w:szCs w:val="22"/>
        </w:rPr>
        <w:t>,</w:t>
      </w:r>
      <w:r>
        <w:rPr>
          <w:rFonts w:ascii="Arial" w:hAnsi="Arial" w:cs="Arial"/>
          <w:color w:val="000000" w:themeColor="text1"/>
          <w:sz w:val="22"/>
          <w:szCs w:val="22"/>
        </w:rPr>
        <w:t xml:space="preserve"> as well as</w:t>
      </w:r>
      <w:r w:rsidR="00DF76EA">
        <w:rPr>
          <w:rFonts w:ascii="Arial" w:hAnsi="Arial" w:cs="Arial"/>
          <w:color w:val="000000" w:themeColor="text1"/>
          <w:sz w:val="22"/>
          <w:szCs w:val="22"/>
        </w:rPr>
        <w:t xml:space="preserve"> in</w:t>
      </w:r>
      <w:r>
        <w:rPr>
          <w:rFonts w:ascii="Arial" w:hAnsi="Arial" w:cs="Arial"/>
          <w:color w:val="000000" w:themeColor="text1"/>
          <w:sz w:val="22"/>
          <w:szCs w:val="22"/>
        </w:rPr>
        <w:t xml:space="preserve"> other </w:t>
      </w:r>
      <w:r w:rsidR="008B4271">
        <w:rPr>
          <w:rFonts w:ascii="Arial" w:hAnsi="Arial" w:cs="Arial"/>
          <w:color w:val="000000" w:themeColor="text1"/>
          <w:sz w:val="22"/>
          <w:szCs w:val="22"/>
        </w:rPr>
        <w:t>legal instruments</w:t>
      </w:r>
      <w:r w:rsidR="00264DA1">
        <w:rPr>
          <w:rFonts w:ascii="Arial" w:hAnsi="Arial" w:cs="Arial"/>
          <w:color w:val="000000" w:themeColor="text1"/>
          <w:sz w:val="22"/>
          <w:szCs w:val="22"/>
        </w:rPr>
        <w:t xml:space="preserve"> </w:t>
      </w:r>
      <w:r w:rsidR="00264DA1" w:rsidRPr="00264DA1">
        <w:rPr>
          <w:rFonts w:ascii="Arial" w:hAnsi="Arial" w:cs="Arial"/>
          <w:color w:val="000000" w:themeColor="text1"/>
          <w:sz w:val="22"/>
          <w:szCs w:val="22"/>
        </w:rPr>
        <w:t>(</w:t>
      </w:r>
      <w:r w:rsidR="00264DA1">
        <w:rPr>
          <w:rFonts w:ascii="Arial" w:hAnsi="Arial" w:cs="Arial"/>
          <w:color w:val="000000" w:themeColor="text1"/>
          <w:sz w:val="22"/>
          <w:szCs w:val="22"/>
        </w:rPr>
        <w:t>such as</w:t>
      </w:r>
      <w:r w:rsidR="00264DA1" w:rsidRPr="005370A8">
        <w:rPr>
          <w:rFonts w:ascii="Arial" w:hAnsi="Arial" w:cs="Arial"/>
          <w:color w:val="000000" w:themeColor="text1"/>
          <w:sz w:val="22"/>
          <w:szCs w:val="22"/>
        </w:rPr>
        <w:t xml:space="preserve"> civil, family, inheritance </w:t>
      </w:r>
      <w:r w:rsidR="00264DA1">
        <w:rPr>
          <w:rFonts w:ascii="Arial" w:hAnsi="Arial" w:cs="Arial"/>
          <w:color w:val="000000" w:themeColor="text1"/>
          <w:sz w:val="22"/>
          <w:szCs w:val="22"/>
        </w:rPr>
        <w:t>and</w:t>
      </w:r>
      <w:r w:rsidR="00264DA1" w:rsidRPr="005370A8">
        <w:rPr>
          <w:rFonts w:ascii="Arial" w:hAnsi="Arial" w:cs="Arial"/>
          <w:color w:val="000000" w:themeColor="text1"/>
          <w:sz w:val="22"/>
          <w:szCs w:val="22"/>
        </w:rPr>
        <w:t xml:space="preserve"> land laws)</w:t>
      </w:r>
      <w:r w:rsidR="003F4695">
        <w:rPr>
          <w:rFonts w:ascii="Arial" w:hAnsi="Arial" w:cs="Arial"/>
          <w:color w:val="000000" w:themeColor="text1"/>
          <w:sz w:val="22"/>
          <w:szCs w:val="22"/>
        </w:rPr>
        <w:t xml:space="preserve"> in both developed and developing countries</w:t>
      </w:r>
    </w:p>
    <w:p w14:paraId="54B33FC7" w14:textId="77777777" w:rsidR="003035CB" w:rsidRDefault="003035CB" w:rsidP="00B93557">
      <w:pPr>
        <w:ind w:left="0" w:firstLine="0"/>
        <w:rPr>
          <w:rFonts w:ascii="Arial" w:hAnsi="Arial" w:cs="Arial"/>
          <w:color w:val="000000" w:themeColor="text1"/>
          <w:sz w:val="22"/>
          <w:szCs w:val="22"/>
        </w:rPr>
      </w:pPr>
    </w:p>
    <w:p w14:paraId="7BA2A502" w14:textId="77777777" w:rsidR="001E6AEC" w:rsidRDefault="002B7F25" w:rsidP="00FA4147">
      <w:pPr>
        <w:ind w:left="0" w:firstLine="0"/>
        <w:rPr>
          <w:rFonts w:ascii="Arial" w:hAnsi="Arial" w:cs="Arial"/>
          <w:color w:val="000000" w:themeColor="text1"/>
          <w:sz w:val="22"/>
          <w:szCs w:val="22"/>
        </w:rPr>
      </w:pPr>
      <w:r w:rsidRPr="007C59F1">
        <w:rPr>
          <w:rFonts w:ascii="Arial" w:hAnsi="Arial" w:cs="Arial"/>
          <w:color w:val="000000" w:themeColor="text1"/>
          <w:sz w:val="22"/>
          <w:szCs w:val="22"/>
        </w:rPr>
        <w:t>D</w:t>
      </w:r>
      <w:r w:rsidR="00C3264E" w:rsidRPr="007C59F1">
        <w:rPr>
          <w:rFonts w:ascii="Arial" w:hAnsi="Arial" w:cs="Arial"/>
          <w:color w:val="000000" w:themeColor="text1"/>
          <w:sz w:val="22"/>
          <w:szCs w:val="22"/>
        </w:rPr>
        <w:t xml:space="preserve">espite the presence of </w:t>
      </w:r>
      <w:r w:rsidR="00DF76EA" w:rsidRPr="007C59F1">
        <w:rPr>
          <w:rFonts w:ascii="Arial" w:hAnsi="Arial" w:cs="Arial"/>
          <w:color w:val="000000" w:themeColor="text1"/>
          <w:sz w:val="22"/>
          <w:szCs w:val="22"/>
        </w:rPr>
        <w:t xml:space="preserve">such </w:t>
      </w:r>
      <w:r w:rsidR="00C3264E" w:rsidRPr="007C59F1">
        <w:rPr>
          <w:rFonts w:ascii="Arial" w:hAnsi="Arial" w:cs="Arial"/>
          <w:color w:val="000000" w:themeColor="text1"/>
          <w:sz w:val="22"/>
          <w:szCs w:val="22"/>
        </w:rPr>
        <w:t>constitutional</w:t>
      </w:r>
      <w:r w:rsidRPr="007C59F1">
        <w:rPr>
          <w:rFonts w:ascii="Arial" w:hAnsi="Arial" w:cs="Arial"/>
          <w:color w:val="000000" w:themeColor="text1"/>
          <w:sz w:val="22"/>
          <w:szCs w:val="22"/>
        </w:rPr>
        <w:t xml:space="preserve"> and/or legislative guarantees</w:t>
      </w:r>
      <w:r w:rsidR="00DF76EA" w:rsidRPr="007C59F1">
        <w:rPr>
          <w:rFonts w:ascii="Arial" w:hAnsi="Arial" w:cs="Arial"/>
          <w:color w:val="000000" w:themeColor="text1"/>
          <w:sz w:val="22"/>
          <w:szCs w:val="22"/>
        </w:rPr>
        <w:t xml:space="preserve"> </w:t>
      </w:r>
      <w:r w:rsidR="00C3264E" w:rsidRPr="007C59F1">
        <w:rPr>
          <w:rFonts w:ascii="Arial" w:hAnsi="Arial" w:cs="Arial"/>
          <w:i/>
          <w:color w:val="000000" w:themeColor="text1"/>
          <w:sz w:val="22"/>
          <w:szCs w:val="22"/>
        </w:rPr>
        <w:t>de facto</w:t>
      </w:r>
      <w:r w:rsidR="00C3264E" w:rsidRPr="007C59F1">
        <w:rPr>
          <w:rFonts w:ascii="Arial" w:hAnsi="Arial" w:cs="Arial"/>
          <w:color w:val="000000" w:themeColor="text1"/>
          <w:sz w:val="22"/>
          <w:szCs w:val="22"/>
        </w:rPr>
        <w:t xml:space="preserve"> gender inequalities persist in many</w:t>
      </w:r>
      <w:r w:rsidR="00C3264E">
        <w:rPr>
          <w:rFonts w:ascii="Arial" w:hAnsi="Arial" w:cs="Arial"/>
          <w:color w:val="000000" w:themeColor="text1"/>
          <w:sz w:val="22"/>
          <w:szCs w:val="22"/>
        </w:rPr>
        <w:t xml:space="preserve"> countries</w:t>
      </w:r>
      <w:r>
        <w:rPr>
          <w:rFonts w:ascii="Arial" w:hAnsi="Arial" w:cs="Arial"/>
          <w:color w:val="000000" w:themeColor="text1"/>
          <w:sz w:val="22"/>
          <w:szCs w:val="22"/>
        </w:rPr>
        <w:t>,</w:t>
      </w:r>
      <w:r w:rsidR="00C3264E">
        <w:rPr>
          <w:rFonts w:ascii="Arial" w:hAnsi="Arial" w:cs="Arial"/>
          <w:color w:val="000000" w:themeColor="text1"/>
          <w:sz w:val="22"/>
          <w:szCs w:val="22"/>
        </w:rPr>
        <w:t xml:space="preserve"> including those with an advanced level of economic development. </w:t>
      </w:r>
      <w:r w:rsidR="00037C32">
        <w:rPr>
          <w:rFonts w:ascii="Arial" w:hAnsi="Arial" w:cs="Arial"/>
          <w:color w:val="000000" w:themeColor="text1"/>
          <w:sz w:val="22"/>
          <w:szCs w:val="22"/>
        </w:rPr>
        <w:t>Available evidence shows that women are</w:t>
      </w:r>
      <w:r w:rsidR="00AC3C3D">
        <w:rPr>
          <w:rFonts w:ascii="Arial" w:hAnsi="Arial" w:cs="Arial"/>
          <w:color w:val="000000" w:themeColor="text1"/>
          <w:sz w:val="22"/>
          <w:szCs w:val="22"/>
        </w:rPr>
        <w:t xml:space="preserve"> disadvantaged compared to their male counterparts in many areas of social, political and economic life, </w:t>
      </w:r>
      <w:r w:rsidR="00264DA1">
        <w:rPr>
          <w:rFonts w:ascii="Arial" w:hAnsi="Arial" w:cs="Arial"/>
          <w:color w:val="000000" w:themeColor="text1"/>
          <w:sz w:val="22"/>
          <w:szCs w:val="22"/>
        </w:rPr>
        <w:t>most relevantly, this includes</w:t>
      </w:r>
      <w:r>
        <w:rPr>
          <w:rFonts w:ascii="Arial" w:hAnsi="Arial" w:cs="Arial"/>
          <w:color w:val="000000" w:themeColor="text1"/>
          <w:sz w:val="22"/>
          <w:szCs w:val="22"/>
        </w:rPr>
        <w:t xml:space="preserve"> </w:t>
      </w:r>
      <w:r w:rsidR="001E4835">
        <w:rPr>
          <w:rFonts w:ascii="Arial" w:hAnsi="Arial" w:cs="Arial"/>
          <w:color w:val="000000" w:themeColor="text1"/>
          <w:sz w:val="22"/>
          <w:szCs w:val="22"/>
        </w:rPr>
        <w:t>access to</w:t>
      </w:r>
      <w:r>
        <w:rPr>
          <w:rFonts w:ascii="Arial" w:hAnsi="Arial" w:cs="Arial"/>
          <w:color w:val="000000" w:themeColor="text1"/>
          <w:sz w:val="22"/>
          <w:szCs w:val="22"/>
        </w:rPr>
        <w:t>,</w:t>
      </w:r>
      <w:r w:rsidR="001E4835">
        <w:rPr>
          <w:rFonts w:ascii="Arial" w:hAnsi="Arial" w:cs="Arial"/>
          <w:color w:val="000000" w:themeColor="text1"/>
          <w:sz w:val="22"/>
          <w:szCs w:val="22"/>
        </w:rPr>
        <w:t xml:space="preserve"> and control over land</w:t>
      </w:r>
      <w:r w:rsidR="00AC3C3D">
        <w:rPr>
          <w:rFonts w:ascii="Arial" w:hAnsi="Arial" w:cs="Arial"/>
          <w:color w:val="000000" w:themeColor="text1"/>
          <w:sz w:val="22"/>
          <w:szCs w:val="22"/>
        </w:rPr>
        <w:t>.</w:t>
      </w:r>
      <w:r w:rsidR="001E6AEC">
        <w:rPr>
          <w:rFonts w:ascii="Arial" w:hAnsi="Arial" w:cs="Arial"/>
          <w:color w:val="000000" w:themeColor="text1"/>
          <w:sz w:val="22"/>
          <w:szCs w:val="22"/>
        </w:rPr>
        <w:t xml:space="preserve"> </w:t>
      </w:r>
    </w:p>
    <w:p w14:paraId="29A13743" w14:textId="77777777" w:rsidR="001E6AEC" w:rsidRDefault="001E6AEC" w:rsidP="00FA4147">
      <w:pPr>
        <w:ind w:left="0" w:firstLine="0"/>
        <w:rPr>
          <w:rFonts w:ascii="Arial" w:hAnsi="Arial" w:cs="Arial"/>
          <w:color w:val="000000" w:themeColor="text1"/>
          <w:sz w:val="22"/>
          <w:szCs w:val="22"/>
        </w:rPr>
      </w:pPr>
    </w:p>
    <w:p w14:paraId="28D1D0CB" w14:textId="0896F3DE" w:rsidR="00AC3C3D" w:rsidRDefault="002B7F25" w:rsidP="00FA4147">
      <w:pPr>
        <w:ind w:left="0" w:firstLine="0"/>
        <w:rPr>
          <w:rFonts w:ascii="Arial" w:hAnsi="Arial" w:cs="Arial"/>
          <w:color w:val="000000" w:themeColor="text1"/>
          <w:sz w:val="22"/>
          <w:szCs w:val="22"/>
        </w:rPr>
      </w:pPr>
      <w:r>
        <w:rPr>
          <w:rFonts w:ascii="Arial" w:hAnsi="Arial" w:cs="Arial"/>
          <w:color w:val="000000" w:themeColor="text1"/>
          <w:sz w:val="22"/>
          <w:szCs w:val="22"/>
        </w:rPr>
        <w:t>Notwithstanding the need for more robust</w:t>
      </w:r>
      <w:r w:rsidR="00AC3C3D">
        <w:rPr>
          <w:rFonts w:ascii="Arial" w:hAnsi="Arial" w:cs="Arial"/>
          <w:color w:val="000000" w:themeColor="text1"/>
          <w:sz w:val="22"/>
          <w:szCs w:val="22"/>
        </w:rPr>
        <w:t xml:space="preserve"> </w:t>
      </w:r>
      <w:r w:rsidR="00264DA1">
        <w:rPr>
          <w:rFonts w:ascii="Arial" w:hAnsi="Arial" w:cs="Arial"/>
          <w:color w:val="000000" w:themeColor="text1"/>
          <w:sz w:val="22"/>
          <w:szCs w:val="22"/>
        </w:rPr>
        <w:t>collection and analysis of</w:t>
      </w:r>
      <w:r w:rsidR="00AC3C3D">
        <w:rPr>
          <w:rFonts w:ascii="Arial" w:hAnsi="Arial" w:cs="Arial"/>
          <w:color w:val="000000" w:themeColor="text1"/>
          <w:sz w:val="22"/>
          <w:szCs w:val="22"/>
        </w:rPr>
        <w:t xml:space="preserve"> sex</w:t>
      </w:r>
      <w:r w:rsidR="001E6AEC">
        <w:rPr>
          <w:rFonts w:ascii="Arial" w:hAnsi="Arial" w:cs="Arial"/>
          <w:color w:val="000000" w:themeColor="text1"/>
          <w:sz w:val="22"/>
          <w:szCs w:val="22"/>
        </w:rPr>
        <w:t>-</w:t>
      </w:r>
      <w:r w:rsidR="00AC3C3D">
        <w:rPr>
          <w:rFonts w:ascii="Arial" w:hAnsi="Arial" w:cs="Arial"/>
          <w:color w:val="000000" w:themeColor="text1"/>
          <w:sz w:val="22"/>
          <w:szCs w:val="22"/>
        </w:rPr>
        <w:t xml:space="preserve">disaggregated </w:t>
      </w:r>
      <w:r w:rsidR="00122600">
        <w:rPr>
          <w:rFonts w:ascii="Arial" w:hAnsi="Arial" w:cs="Arial"/>
          <w:color w:val="000000" w:themeColor="text1"/>
          <w:sz w:val="22"/>
          <w:szCs w:val="22"/>
        </w:rPr>
        <w:t>data</w:t>
      </w:r>
      <w:r w:rsidR="00384D7B">
        <w:rPr>
          <w:rFonts w:ascii="Arial" w:hAnsi="Arial" w:cs="Arial"/>
          <w:color w:val="000000" w:themeColor="text1"/>
          <w:sz w:val="22"/>
          <w:szCs w:val="22"/>
        </w:rPr>
        <w:t xml:space="preserve"> (in particular, for informing SDG indicator </w:t>
      </w:r>
      <w:r w:rsidR="007C59F1">
        <w:rPr>
          <w:rFonts w:ascii="Arial" w:hAnsi="Arial" w:cs="Arial"/>
          <w:color w:val="000000" w:themeColor="text1"/>
          <w:sz w:val="22"/>
          <w:szCs w:val="22"/>
        </w:rPr>
        <w:t xml:space="preserve">1.4.2 or </w:t>
      </w:r>
      <w:r w:rsidR="00384D7B">
        <w:rPr>
          <w:rFonts w:ascii="Arial" w:hAnsi="Arial" w:cs="Arial"/>
          <w:color w:val="000000" w:themeColor="text1"/>
          <w:sz w:val="22"/>
          <w:szCs w:val="22"/>
        </w:rPr>
        <w:t>5.a.1)</w:t>
      </w:r>
      <w:r w:rsidR="00122600">
        <w:rPr>
          <w:rFonts w:ascii="Arial" w:hAnsi="Arial" w:cs="Arial"/>
          <w:color w:val="000000" w:themeColor="text1"/>
          <w:sz w:val="22"/>
          <w:szCs w:val="22"/>
        </w:rPr>
        <w:t>,</w:t>
      </w:r>
      <w:r w:rsidR="00AC3C3D">
        <w:rPr>
          <w:rFonts w:ascii="Arial" w:hAnsi="Arial" w:cs="Arial"/>
          <w:color w:val="000000" w:themeColor="text1"/>
          <w:sz w:val="22"/>
          <w:szCs w:val="22"/>
        </w:rPr>
        <w:t xml:space="preserve"> </w:t>
      </w:r>
      <w:r w:rsidR="00AC3C3D" w:rsidRPr="00410E6A">
        <w:rPr>
          <w:rFonts w:ascii="Arial" w:hAnsi="Arial" w:cs="Arial"/>
          <w:b/>
          <w:color w:val="000000" w:themeColor="text1"/>
          <w:sz w:val="22"/>
          <w:szCs w:val="22"/>
        </w:rPr>
        <w:t xml:space="preserve">available evidence </w:t>
      </w:r>
      <w:r w:rsidR="00384D7B">
        <w:rPr>
          <w:rFonts w:ascii="Arial" w:hAnsi="Arial" w:cs="Arial"/>
          <w:b/>
          <w:color w:val="000000" w:themeColor="text1"/>
          <w:sz w:val="22"/>
          <w:szCs w:val="22"/>
        </w:rPr>
        <w:t>may indicate</w:t>
      </w:r>
      <w:r w:rsidR="00AC3C3D" w:rsidRPr="00410E6A">
        <w:rPr>
          <w:rFonts w:ascii="Arial" w:hAnsi="Arial" w:cs="Arial"/>
          <w:b/>
          <w:color w:val="000000" w:themeColor="text1"/>
          <w:sz w:val="22"/>
          <w:szCs w:val="22"/>
        </w:rPr>
        <w:t xml:space="preserve"> that women are strongly under-represented among landholders</w:t>
      </w:r>
      <w:r w:rsidRPr="00410E6A">
        <w:rPr>
          <w:rFonts w:ascii="Arial" w:hAnsi="Arial" w:cs="Arial"/>
          <w:b/>
          <w:color w:val="000000" w:themeColor="text1"/>
          <w:sz w:val="22"/>
          <w:szCs w:val="22"/>
        </w:rPr>
        <w:t xml:space="preserve"> in all countr</w:t>
      </w:r>
      <w:r w:rsidRPr="00264DA1">
        <w:rPr>
          <w:rFonts w:ascii="Arial" w:hAnsi="Arial" w:cs="Arial"/>
          <w:b/>
          <w:color w:val="000000" w:themeColor="text1"/>
          <w:sz w:val="22"/>
          <w:szCs w:val="22"/>
        </w:rPr>
        <w:t>i</w:t>
      </w:r>
      <w:r w:rsidRPr="00410E6A">
        <w:rPr>
          <w:rFonts w:ascii="Arial" w:hAnsi="Arial" w:cs="Arial"/>
          <w:b/>
          <w:color w:val="000000" w:themeColor="text1"/>
          <w:sz w:val="22"/>
          <w:szCs w:val="22"/>
        </w:rPr>
        <w:t>es</w:t>
      </w:r>
      <w:r>
        <w:rPr>
          <w:rFonts w:ascii="Arial" w:hAnsi="Arial" w:cs="Arial"/>
          <w:b/>
          <w:color w:val="000000" w:themeColor="text1"/>
          <w:sz w:val="22"/>
          <w:szCs w:val="22"/>
        </w:rPr>
        <w:t xml:space="preserve">. The table </w:t>
      </w:r>
      <w:r w:rsidR="00410E6A">
        <w:rPr>
          <w:rFonts w:ascii="Arial" w:hAnsi="Arial" w:cs="Arial"/>
          <w:b/>
          <w:color w:val="000000" w:themeColor="text1"/>
          <w:sz w:val="22"/>
          <w:szCs w:val="22"/>
        </w:rPr>
        <w:t xml:space="preserve">in Annex </w:t>
      </w:r>
      <w:r w:rsidR="005D1CAC">
        <w:rPr>
          <w:rFonts w:ascii="Arial" w:hAnsi="Arial" w:cs="Arial"/>
          <w:b/>
          <w:color w:val="000000" w:themeColor="text1"/>
          <w:sz w:val="22"/>
          <w:szCs w:val="22"/>
        </w:rPr>
        <w:t xml:space="preserve">I </w:t>
      </w:r>
      <w:r>
        <w:rPr>
          <w:rFonts w:ascii="Arial" w:hAnsi="Arial" w:cs="Arial"/>
          <w:b/>
          <w:color w:val="000000" w:themeColor="text1"/>
          <w:sz w:val="22"/>
          <w:szCs w:val="22"/>
        </w:rPr>
        <w:t xml:space="preserve">provides details of </w:t>
      </w:r>
      <w:r w:rsidR="00384D7B">
        <w:rPr>
          <w:rFonts w:ascii="Arial" w:hAnsi="Arial" w:cs="Arial"/>
          <w:b/>
          <w:color w:val="000000" w:themeColor="text1"/>
          <w:sz w:val="22"/>
          <w:szCs w:val="22"/>
        </w:rPr>
        <w:t>Agricultural</w:t>
      </w:r>
      <w:r>
        <w:rPr>
          <w:rFonts w:ascii="Arial" w:hAnsi="Arial" w:cs="Arial"/>
          <w:b/>
          <w:color w:val="000000" w:themeColor="text1"/>
          <w:sz w:val="22"/>
          <w:szCs w:val="22"/>
        </w:rPr>
        <w:t xml:space="preserve"> </w:t>
      </w:r>
      <w:r w:rsidR="00384D7B">
        <w:rPr>
          <w:rFonts w:ascii="Arial" w:hAnsi="Arial" w:cs="Arial"/>
          <w:b/>
          <w:color w:val="000000" w:themeColor="text1"/>
          <w:sz w:val="22"/>
          <w:szCs w:val="22"/>
        </w:rPr>
        <w:t>holders’</w:t>
      </w:r>
      <w:r>
        <w:rPr>
          <w:rFonts w:ascii="Arial" w:hAnsi="Arial" w:cs="Arial"/>
          <w:b/>
          <w:color w:val="000000" w:themeColor="text1"/>
          <w:sz w:val="22"/>
          <w:szCs w:val="22"/>
        </w:rPr>
        <w:t xml:space="preserve"> distribution between men and women </w:t>
      </w:r>
      <w:r w:rsidR="00264DA1">
        <w:rPr>
          <w:rFonts w:ascii="Arial" w:hAnsi="Arial" w:cs="Arial"/>
          <w:b/>
          <w:color w:val="000000" w:themeColor="text1"/>
          <w:sz w:val="22"/>
          <w:szCs w:val="22"/>
        </w:rPr>
        <w:t>across</w:t>
      </w:r>
      <w:r>
        <w:rPr>
          <w:rFonts w:ascii="Arial" w:hAnsi="Arial" w:cs="Arial"/>
          <w:b/>
          <w:color w:val="000000" w:themeColor="text1"/>
          <w:sz w:val="22"/>
          <w:szCs w:val="22"/>
        </w:rPr>
        <w:t xml:space="preserve"> the European continent</w:t>
      </w:r>
      <w:r>
        <w:rPr>
          <w:rFonts w:ascii="Arial" w:hAnsi="Arial" w:cs="Arial"/>
          <w:color w:val="000000" w:themeColor="text1"/>
          <w:sz w:val="22"/>
          <w:szCs w:val="22"/>
        </w:rPr>
        <w:t xml:space="preserve">. </w:t>
      </w:r>
      <w:r w:rsidR="00384D7B">
        <w:rPr>
          <w:rFonts w:ascii="Arial" w:hAnsi="Arial" w:cs="Arial"/>
          <w:color w:val="000000" w:themeColor="text1"/>
          <w:sz w:val="22"/>
          <w:szCs w:val="22"/>
        </w:rPr>
        <w:t>Even if the table does not report disparities in land ownership</w:t>
      </w:r>
      <w:r w:rsidR="00472187">
        <w:rPr>
          <w:rFonts w:ascii="Arial" w:hAnsi="Arial" w:cs="Arial"/>
          <w:color w:val="000000" w:themeColor="text1"/>
          <w:sz w:val="22"/>
          <w:szCs w:val="22"/>
        </w:rPr>
        <w:t xml:space="preserve"> per se</w:t>
      </w:r>
      <w:r w:rsidR="00384D7B">
        <w:rPr>
          <w:rFonts w:ascii="Arial" w:hAnsi="Arial" w:cs="Arial"/>
          <w:color w:val="000000" w:themeColor="text1"/>
          <w:sz w:val="22"/>
          <w:szCs w:val="22"/>
        </w:rPr>
        <w:t xml:space="preserve">, it highlights significant persistent inequalities in the </w:t>
      </w:r>
      <w:r w:rsidR="00384D7B" w:rsidRPr="00384D7B">
        <w:rPr>
          <w:rFonts w:ascii="Arial" w:hAnsi="Arial" w:cs="Arial"/>
          <w:color w:val="000000" w:themeColor="text1"/>
          <w:sz w:val="22"/>
          <w:szCs w:val="22"/>
        </w:rPr>
        <w:t>management of agricultural holdings</w:t>
      </w:r>
      <w:r w:rsidR="00384D7B">
        <w:rPr>
          <w:rFonts w:ascii="Arial" w:hAnsi="Arial" w:cs="Arial"/>
          <w:color w:val="000000" w:themeColor="text1"/>
          <w:sz w:val="22"/>
          <w:szCs w:val="22"/>
        </w:rPr>
        <w:t xml:space="preserve"> in most European countries.</w:t>
      </w:r>
      <w:r w:rsidR="00384D7B" w:rsidRPr="00384D7B">
        <w:rPr>
          <w:rFonts w:ascii="Arial" w:hAnsi="Arial" w:cs="Arial"/>
          <w:color w:val="000000" w:themeColor="text1"/>
          <w:sz w:val="22"/>
          <w:szCs w:val="22"/>
        </w:rPr>
        <w:t xml:space="preserve"> </w:t>
      </w:r>
    </w:p>
    <w:p w14:paraId="1443D237" w14:textId="77777777" w:rsidR="00FA4147" w:rsidRDefault="00FA4147" w:rsidP="00AE7416">
      <w:pPr>
        <w:ind w:left="0" w:firstLine="0"/>
        <w:rPr>
          <w:rFonts w:ascii="Arial" w:hAnsi="Arial" w:cs="Arial"/>
          <w:color w:val="000000" w:themeColor="text1"/>
          <w:sz w:val="22"/>
          <w:szCs w:val="22"/>
        </w:rPr>
      </w:pPr>
    </w:p>
    <w:p w14:paraId="08E452FD" w14:textId="77777777" w:rsidR="00574BD3" w:rsidRDefault="005F4D3C" w:rsidP="00574BD3">
      <w:pPr>
        <w:ind w:left="0" w:firstLine="0"/>
        <w:rPr>
          <w:rFonts w:ascii="Arial" w:hAnsi="Arial" w:cs="Arial"/>
          <w:color w:val="000000" w:themeColor="text1"/>
          <w:sz w:val="22"/>
          <w:szCs w:val="22"/>
        </w:rPr>
      </w:pPr>
      <w:r>
        <w:rPr>
          <w:rFonts w:ascii="Arial" w:hAnsi="Arial" w:cs="Arial"/>
          <w:color w:val="000000" w:themeColor="text1"/>
          <w:sz w:val="22"/>
          <w:szCs w:val="22"/>
        </w:rPr>
        <w:t>Given t</w:t>
      </w:r>
      <w:r w:rsidR="001E4835">
        <w:rPr>
          <w:rFonts w:ascii="Arial" w:hAnsi="Arial" w:cs="Arial"/>
          <w:color w:val="000000" w:themeColor="text1"/>
          <w:sz w:val="22"/>
          <w:szCs w:val="22"/>
        </w:rPr>
        <w:t>he persistence of gender inequalities in land it is essential</w:t>
      </w:r>
      <w:r w:rsidR="00264DA1">
        <w:rPr>
          <w:rFonts w:ascii="Arial" w:hAnsi="Arial" w:cs="Arial"/>
          <w:color w:val="000000" w:themeColor="text1"/>
          <w:sz w:val="22"/>
          <w:szCs w:val="22"/>
        </w:rPr>
        <w:t xml:space="preserve"> that countries</w:t>
      </w:r>
      <w:r w:rsidR="001E4835">
        <w:rPr>
          <w:rFonts w:ascii="Arial" w:hAnsi="Arial" w:cs="Arial"/>
          <w:color w:val="000000" w:themeColor="text1"/>
          <w:sz w:val="22"/>
          <w:szCs w:val="22"/>
        </w:rPr>
        <w:t xml:space="preserve"> adopt positive measures to address those factors that </w:t>
      </w:r>
      <w:r w:rsidR="00264DA1">
        <w:rPr>
          <w:rFonts w:ascii="Arial" w:hAnsi="Arial" w:cs="Arial"/>
          <w:color w:val="000000" w:themeColor="text1"/>
          <w:sz w:val="22"/>
          <w:szCs w:val="22"/>
        </w:rPr>
        <w:t>act as barriers to the achievement</w:t>
      </w:r>
      <w:r w:rsidR="00AE7416">
        <w:rPr>
          <w:rFonts w:ascii="Arial" w:hAnsi="Arial" w:cs="Arial"/>
          <w:color w:val="000000" w:themeColor="text1"/>
          <w:sz w:val="22"/>
          <w:szCs w:val="22"/>
        </w:rPr>
        <w:t xml:space="preserve"> of</w:t>
      </w:r>
      <w:r w:rsidR="00264DA1">
        <w:rPr>
          <w:rFonts w:ascii="Arial" w:hAnsi="Arial" w:cs="Arial"/>
          <w:color w:val="000000" w:themeColor="text1"/>
          <w:sz w:val="22"/>
          <w:szCs w:val="22"/>
        </w:rPr>
        <w:t xml:space="preserve"> </w:t>
      </w:r>
      <w:r w:rsidR="00BA29BF">
        <w:rPr>
          <w:rFonts w:ascii="Arial" w:hAnsi="Arial" w:cs="Arial"/>
          <w:i/>
          <w:color w:val="000000" w:themeColor="text1"/>
          <w:sz w:val="22"/>
          <w:szCs w:val="22"/>
        </w:rPr>
        <w:t xml:space="preserve">de facto </w:t>
      </w:r>
      <w:r w:rsidR="00264DA1">
        <w:rPr>
          <w:rFonts w:ascii="Arial" w:hAnsi="Arial" w:cs="Arial"/>
          <w:color w:val="000000" w:themeColor="text1"/>
          <w:sz w:val="22"/>
          <w:szCs w:val="22"/>
        </w:rPr>
        <w:t>equality</w:t>
      </w:r>
      <w:r w:rsidR="00574BD3">
        <w:rPr>
          <w:rFonts w:ascii="Arial" w:hAnsi="Arial" w:cs="Arial"/>
          <w:color w:val="000000" w:themeColor="text1"/>
          <w:sz w:val="22"/>
          <w:szCs w:val="22"/>
        </w:rPr>
        <w:t xml:space="preserve">. </w:t>
      </w:r>
      <w:r w:rsidR="00264DA1">
        <w:rPr>
          <w:rFonts w:ascii="Arial" w:hAnsi="Arial" w:cs="Arial"/>
          <w:color w:val="000000" w:themeColor="text1"/>
          <w:sz w:val="22"/>
          <w:szCs w:val="22"/>
        </w:rPr>
        <w:t xml:space="preserve">Positive measures </w:t>
      </w:r>
      <w:r w:rsidR="00574BD3">
        <w:rPr>
          <w:rFonts w:ascii="Arial" w:hAnsi="Arial" w:cs="Arial"/>
          <w:color w:val="000000" w:themeColor="text1"/>
          <w:sz w:val="22"/>
          <w:szCs w:val="22"/>
        </w:rPr>
        <w:t>include</w:t>
      </w:r>
      <w:r w:rsidR="00DF69CC">
        <w:rPr>
          <w:rFonts w:ascii="Arial" w:hAnsi="Arial" w:cs="Arial"/>
          <w:color w:val="000000" w:themeColor="text1"/>
          <w:sz w:val="22"/>
          <w:szCs w:val="22"/>
        </w:rPr>
        <w:t xml:space="preserve"> </w:t>
      </w:r>
      <w:r w:rsidR="00574BD3">
        <w:rPr>
          <w:rFonts w:ascii="Arial" w:hAnsi="Arial" w:cs="Arial"/>
          <w:color w:val="000000" w:themeColor="text1"/>
          <w:sz w:val="22"/>
          <w:szCs w:val="22"/>
        </w:rPr>
        <w:t>the adoption of progressive legislations and regulations, as well as programs and projects that ensure that policies and laws are implemented and enacted.</w:t>
      </w:r>
      <w:r w:rsidR="00410E6A">
        <w:rPr>
          <w:rFonts w:ascii="Arial" w:hAnsi="Arial" w:cs="Arial"/>
          <w:color w:val="000000" w:themeColor="text1"/>
          <w:sz w:val="22"/>
          <w:szCs w:val="22"/>
        </w:rPr>
        <w:t xml:space="preserve"> The limitations of the existing laws and provisions have become apparent in terms of achieving gender equality </w:t>
      </w:r>
      <w:r w:rsidR="00574BD3">
        <w:rPr>
          <w:rFonts w:ascii="Arial" w:hAnsi="Arial" w:cs="Arial"/>
          <w:color w:val="000000" w:themeColor="text1"/>
          <w:sz w:val="22"/>
          <w:szCs w:val="22"/>
        </w:rPr>
        <w:t xml:space="preserve">therefore </w:t>
      </w:r>
      <w:r w:rsidR="00264DA1">
        <w:rPr>
          <w:rFonts w:ascii="Arial" w:hAnsi="Arial" w:cs="Arial"/>
          <w:color w:val="000000" w:themeColor="text1"/>
          <w:sz w:val="22"/>
          <w:szCs w:val="22"/>
        </w:rPr>
        <w:t xml:space="preserve">new targeted </w:t>
      </w:r>
      <w:r w:rsidR="00574BD3">
        <w:rPr>
          <w:rFonts w:ascii="Arial" w:hAnsi="Arial" w:cs="Arial"/>
          <w:color w:val="000000" w:themeColor="text1"/>
          <w:sz w:val="22"/>
          <w:szCs w:val="22"/>
        </w:rPr>
        <w:t xml:space="preserve">measures need to be adopted. </w:t>
      </w:r>
    </w:p>
    <w:p w14:paraId="3A506091" w14:textId="77777777" w:rsidR="00574BD3" w:rsidRDefault="00574BD3" w:rsidP="00574BD3">
      <w:pPr>
        <w:ind w:left="0" w:firstLine="0"/>
        <w:rPr>
          <w:rFonts w:ascii="Arial" w:hAnsi="Arial" w:cs="Arial"/>
          <w:color w:val="000000" w:themeColor="text1"/>
          <w:sz w:val="22"/>
          <w:szCs w:val="22"/>
        </w:rPr>
      </w:pPr>
    </w:p>
    <w:p w14:paraId="38957E68" w14:textId="118A718F" w:rsidR="00B93557" w:rsidRDefault="00574BD3" w:rsidP="00FF605C">
      <w:pPr>
        <w:ind w:left="0" w:firstLine="0"/>
        <w:rPr>
          <w:rFonts w:ascii="Arial" w:hAnsi="Arial" w:cs="Arial"/>
          <w:color w:val="000000" w:themeColor="text1"/>
          <w:sz w:val="22"/>
          <w:szCs w:val="22"/>
        </w:rPr>
      </w:pPr>
      <w:r>
        <w:rPr>
          <w:rFonts w:ascii="Arial" w:hAnsi="Arial" w:cs="Arial"/>
          <w:color w:val="000000" w:themeColor="text1"/>
          <w:sz w:val="22"/>
          <w:szCs w:val="22"/>
        </w:rPr>
        <w:t xml:space="preserve">The </w:t>
      </w:r>
      <w:r w:rsidR="00DF69CC">
        <w:rPr>
          <w:rFonts w:ascii="Arial" w:hAnsi="Arial" w:cs="Arial"/>
          <w:color w:val="000000" w:themeColor="text1"/>
          <w:sz w:val="22"/>
          <w:szCs w:val="22"/>
        </w:rPr>
        <w:t>special measures in the spirit of Art</w:t>
      </w:r>
      <w:r w:rsidR="00D333A9">
        <w:rPr>
          <w:rFonts w:ascii="Arial" w:hAnsi="Arial" w:cs="Arial"/>
          <w:color w:val="000000" w:themeColor="text1"/>
          <w:sz w:val="22"/>
          <w:szCs w:val="22"/>
        </w:rPr>
        <w:t xml:space="preserve">icle </w:t>
      </w:r>
      <w:r w:rsidR="00DF69CC">
        <w:rPr>
          <w:rFonts w:ascii="Arial" w:hAnsi="Arial" w:cs="Arial"/>
          <w:color w:val="000000" w:themeColor="text1"/>
          <w:sz w:val="22"/>
          <w:szCs w:val="22"/>
        </w:rPr>
        <w:t>4 of</w:t>
      </w:r>
      <w:r w:rsidR="005A1A5D">
        <w:rPr>
          <w:rFonts w:ascii="Arial" w:hAnsi="Arial" w:cs="Arial"/>
          <w:color w:val="000000" w:themeColor="text1"/>
          <w:sz w:val="22"/>
          <w:szCs w:val="22"/>
        </w:rPr>
        <w:t xml:space="preserve"> the</w:t>
      </w:r>
      <w:r w:rsidR="00DF69CC" w:rsidRPr="005A1A5D">
        <w:rPr>
          <w:rFonts w:ascii="Arial" w:hAnsi="Arial" w:cs="Arial"/>
          <w:color w:val="000000" w:themeColor="text1"/>
          <w:sz w:val="22"/>
          <w:szCs w:val="22"/>
        </w:rPr>
        <w:t xml:space="preserve"> </w:t>
      </w:r>
      <w:r w:rsidR="005A1A5D" w:rsidRPr="005D1CAC">
        <w:rPr>
          <w:rFonts w:ascii="Arial" w:hAnsi="Arial" w:cs="Arial"/>
          <w:color w:val="000000" w:themeColor="text1"/>
          <w:sz w:val="22"/>
          <w:szCs w:val="22"/>
          <w:lang w:val="en-AU"/>
        </w:rPr>
        <w:t>Convention on the Elimination of Discrimination against Women</w:t>
      </w:r>
      <w:r w:rsidR="005A1A5D" w:rsidRPr="005A1A5D">
        <w:rPr>
          <w:rFonts w:ascii="Arial" w:hAnsi="Arial" w:cs="Arial"/>
          <w:color w:val="000000" w:themeColor="text1"/>
          <w:sz w:val="22"/>
          <w:szCs w:val="22"/>
          <w:lang w:val="en-AU"/>
        </w:rPr>
        <w:t xml:space="preserve"> </w:t>
      </w:r>
      <w:r w:rsidR="005A1A5D">
        <w:rPr>
          <w:rFonts w:ascii="Arial" w:hAnsi="Arial" w:cs="Arial"/>
          <w:color w:val="000000" w:themeColor="text1"/>
          <w:sz w:val="22"/>
          <w:szCs w:val="22"/>
          <w:lang w:val="en-AU"/>
        </w:rPr>
        <w:t>(</w:t>
      </w:r>
      <w:r w:rsidR="00DF69CC">
        <w:rPr>
          <w:rFonts w:ascii="Arial" w:hAnsi="Arial" w:cs="Arial"/>
          <w:color w:val="000000" w:themeColor="text1"/>
          <w:sz w:val="22"/>
          <w:szCs w:val="22"/>
          <w:lang w:val="en-AU"/>
        </w:rPr>
        <w:t>CEDAW</w:t>
      </w:r>
      <w:r w:rsidR="005A1A5D">
        <w:rPr>
          <w:rFonts w:ascii="Arial" w:hAnsi="Arial" w:cs="Arial"/>
          <w:color w:val="000000" w:themeColor="text1"/>
          <w:sz w:val="22"/>
          <w:szCs w:val="22"/>
          <w:lang w:val="en-AU"/>
        </w:rPr>
        <w:t>)</w:t>
      </w:r>
      <w:r w:rsidR="00DF69CC">
        <w:rPr>
          <w:rFonts w:ascii="Arial" w:hAnsi="Arial" w:cs="Arial"/>
          <w:color w:val="000000" w:themeColor="text1"/>
          <w:sz w:val="22"/>
          <w:szCs w:val="22"/>
          <w:lang w:val="en-AU"/>
        </w:rPr>
        <w:t xml:space="preserve"> are necessary </w:t>
      </w:r>
      <w:r w:rsidR="00045A41">
        <w:rPr>
          <w:rFonts w:ascii="Arial" w:hAnsi="Arial" w:cs="Arial"/>
          <w:color w:val="000000" w:themeColor="text1"/>
          <w:sz w:val="22"/>
          <w:szCs w:val="22"/>
        </w:rPr>
        <w:t xml:space="preserve">to </w:t>
      </w:r>
      <w:r w:rsidR="00DF69CC" w:rsidRPr="009F3857">
        <w:rPr>
          <w:rFonts w:ascii="Arial" w:hAnsi="Arial" w:cs="Arial"/>
          <w:color w:val="000000" w:themeColor="text1"/>
          <w:sz w:val="22"/>
          <w:szCs w:val="22"/>
        </w:rPr>
        <w:t xml:space="preserve">accelerate the </w:t>
      </w:r>
      <w:r w:rsidR="00442D8F">
        <w:rPr>
          <w:rFonts w:ascii="Arial" w:hAnsi="Arial" w:cs="Arial"/>
          <w:color w:val="000000" w:themeColor="text1"/>
          <w:sz w:val="22"/>
          <w:szCs w:val="22"/>
        </w:rPr>
        <w:t xml:space="preserve">advancement of </w:t>
      </w:r>
      <w:r w:rsidR="00045A41">
        <w:rPr>
          <w:rFonts w:ascii="Arial" w:hAnsi="Arial" w:cs="Arial"/>
          <w:color w:val="000000" w:themeColor="text1"/>
          <w:sz w:val="22"/>
          <w:szCs w:val="22"/>
        </w:rPr>
        <w:lastRenderedPageBreak/>
        <w:t>women’s</w:t>
      </w:r>
      <w:r w:rsidR="00442D8F">
        <w:rPr>
          <w:rFonts w:ascii="Arial" w:hAnsi="Arial" w:cs="Arial"/>
          <w:color w:val="000000" w:themeColor="text1"/>
          <w:sz w:val="22"/>
          <w:szCs w:val="22"/>
        </w:rPr>
        <w:t xml:space="preserve"> rights to </w:t>
      </w:r>
      <w:r w:rsidR="00DF69CC" w:rsidRPr="009F3857">
        <w:rPr>
          <w:rFonts w:ascii="Arial" w:hAnsi="Arial" w:cs="Arial"/>
          <w:color w:val="000000" w:themeColor="text1"/>
          <w:sz w:val="22"/>
          <w:szCs w:val="22"/>
        </w:rPr>
        <w:t xml:space="preserve">achieve their </w:t>
      </w:r>
      <w:r w:rsidR="00DF69CC" w:rsidRPr="00937B6F">
        <w:rPr>
          <w:rFonts w:ascii="Arial" w:hAnsi="Arial" w:cs="Arial"/>
          <w:i/>
          <w:color w:val="000000" w:themeColor="text1"/>
          <w:sz w:val="22"/>
          <w:szCs w:val="22"/>
        </w:rPr>
        <w:t>de facto</w:t>
      </w:r>
      <w:r w:rsidR="00DF69CC" w:rsidRPr="009F3857">
        <w:rPr>
          <w:rFonts w:ascii="Arial" w:hAnsi="Arial" w:cs="Arial"/>
          <w:color w:val="000000" w:themeColor="text1"/>
          <w:sz w:val="22"/>
          <w:szCs w:val="22"/>
        </w:rPr>
        <w:t xml:space="preserve"> or substantive equality with men</w:t>
      </w:r>
      <w:r w:rsidR="00AD09C0">
        <w:rPr>
          <w:rFonts w:ascii="Arial" w:hAnsi="Arial" w:cs="Arial"/>
          <w:color w:val="000000" w:themeColor="text1"/>
          <w:sz w:val="22"/>
          <w:szCs w:val="22"/>
        </w:rPr>
        <w:t xml:space="preserve"> and should be adopted in countries</w:t>
      </w:r>
      <w:r w:rsidR="00DF69CC">
        <w:rPr>
          <w:rFonts w:ascii="Arial" w:hAnsi="Arial" w:cs="Arial"/>
          <w:color w:val="000000" w:themeColor="text1"/>
          <w:sz w:val="22"/>
          <w:szCs w:val="22"/>
        </w:rPr>
        <w:t xml:space="preserve"> </w:t>
      </w:r>
      <w:r w:rsidR="00DF69CC" w:rsidRPr="00A236C8">
        <w:rPr>
          <w:rFonts w:ascii="Arial" w:hAnsi="Arial" w:cs="Arial"/>
          <w:i/>
          <w:color w:val="000000" w:themeColor="text1"/>
          <w:sz w:val="22"/>
          <w:szCs w:val="22"/>
        </w:rPr>
        <w:t>regardless of their level of economic development</w:t>
      </w:r>
      <w:r w:rsidR="00AD7F00">
        <w:rPr>
          <w:rFonts w:ascii="Arial" w:hAnsi="Arial" w:cs="Arial"/>
          <w:i/>
          <w:color w:val="000000" w:themeColor="text1"/>
          <w:sz w:val="22"/>
          <w:szCs w:val="22"/>
        </w:rPr>
        <w:t xml:space="preserve"> when disparities still exist</w:t>
      </w:r>
      <w:r w:rsidR="00AD09C0">
        <w:rPr>
          <w:rFonts w:ascii="Arial" w:hAnsi="Arial" w:cs="Arial"/>
          <w:color w:val="000000" w:themeColor="text1"/>
          <w:sz w:val="22"/>
          <w:szCs w:val="22"/>
        </w:rPr>
        <w:t xml:space="preserve">. Specifically, in </w:t>
      </w:r>
      <w:r w:rsidR="00FA4147">
        <w:rPr>
          <w:rFonts w:ascii="Arial" w:hAnsi="Arial" w:cs="Arial"/>
          <w:color w:val="000000" w:themeColor="text1"/>
          <w:sz w:val="22"/>
          <w:szCs w:val="22"/>
        </w:rPr>
        <w:t>several</w:t>
      </w:r>
      <w:r w:rsidR="00AD09C0">
        <w:rPr>
          <w:rFonts w:ascii="Arial" w:hAnsi="Arial" w:cs="Arial"/>
          <w:color w:val="000000" w:themeColor="text1"/>
          <w:sz w:val="22"/>
          <w:szCs w:val="22"/>
        </w:rPr>
        <w:t xml:space="preserve"> of its concluding observations addressed to ‘develop</w:t>
      </w:r>
      <w:r w:rsidR="005D1CAC">
        <w:rPr>
          <w:rFonts w:ascii="Arial" w:hAnsi="Arial" w:cs="Arial"/>
          <w:color w:val="000000" w:themeColor="text1"/>
          <w:sz w:val="22"/>
          <w:szCs w:val="22"/>
        </w:rPr>
        <w:t>ed</w:t>
      </w:r>
      <w:r w:rsidR="00AD09C0">
        <w:rPr>
          <w:rFonts w:ascii="Arial" w:hAnsi="Arial" w:cs="Arial"/>
          <w:color w:val="000000" w:themeColor="text1"/>
          <w:sz w:val="22"/>
          <w:szCs w:val="22"/>
        </w:rPr>
        <w:t xml:space="preserve"> countries’</w:t>
      </w:r>
      <w:r w:rsidR="00045A41">
        <w:rPr>
          <w:rFonts w:ascii="Arial" w:hAnsi="Arial" w:cs="Arial"/>
          <w:color w:val="000000" w:themeColor="text1"/>
          <w:sz w:val="22"/>
          <w:szCs w:val="22"/>
        </w:rPr>
        <w:t>,</w:t>
      </w:r>
      <w:r w:rsidR="00AD09C0">
        <w:rPr>
          <w:rFonts w:ascii="Arial" w:hAnsi="Arial" w:cs="Arial"/>
          <w:color w:val="000000" w:themeColor="text1"/>
          <w:sz w:val="22"/>
          <w:szCs w:val="22"/>
        </w:rPr>
        <w:t xml:space="preserve"> CEDAW has recommended the adoption of special measures in accordance with Art</w:t>
      </w:r>
      <w:r w:rsidR="00D333A9">
        <w:rPr>
          <w:rFonts w:ascii="Arial" w:hAnsi="Arial" w:cs="Arial"/>
          <w:color w:val="000000" w:themeColor="text1"/>
          <w:sz w:val="22"/>
          <w:szCs w:val="22"/>
        </w:rPr>
        <w:t>icle</w:t>
      </w:r>
      <w:r w:rsidR="00AD09C0">
        <w:rPr>
          <w:rFonts w:ascii="Arial" w:hAnsi="Arial" w:cs="Arial"/>
          <w:color w:val="000000" w:themeColor="text1"/>
          <w:sz w:val="22"/>
          <w:szCs w:val="22"/>
        </w:rPr>
        <w:t xml:space="preserve"> 4.</w:t>
      </w:r>
      <w:r w:rsidR="00AD09C0">
        <w:rPr>
          <w:rStyle w:val="FootnoteReference"/>
          <w:rFonts w:ascii="Arial" w:hAnsi="Arial" w:cs="Arial"/>
          <w:color w:val="000000" w:themeColor="text1"/>
          <w:sz w:val="22"/>
          <w:szCs w:val="22"/>
        </w:rPr>
        <w:footnoteReference w:id="1"/>
      </w:r>
    </w:p>
    <w:p w14:paraId="5A1F2C8D" w14:textId="77777777" w:rsidR="003248E7" w:rsidRDefault="003248E7" w:rsidP="00FF605C">
      <w:pPr>
        <w:ind w:left="0" w:firstLine="0"/>
        <w:rPr>
          <w:rFonts w:ascii="Arial" w:hAnsi="Arial" w:cs="Arial"/>
          <w:color w:val="000000" w:themeColor="text1"/>
          <w:sz w:val="22"/>
          <w:szCs w:val="22"/>
        </w:rPr>
      </w:pPr>
    </w:p>
    <w:p w14:paraId="78FD1614" w14:textId="77777777" w:rsidR="008B4271" w:rsidRDefault="00410E6A" w:rsidP="00FF605C">
      <w:pPr>
        <w:ind w:left="0" w:firstLine="0"/>
        <w:rPr>
          <w:rFonts w:ascii="Arial" w:hAnsi="Arial" w:cs="Arial"/>
          <w:color w:val="000000" w:themeColor="text1"/>
          <w:sz w:val="22"/>
          <w:szCs w:val="22"/>
        </w:rPr>
      </w:pPr>
      <w:r>
        <w:rPr>
          <w:rFonts w:ascii="Arial" w:hAnsi="Arial" w:cs="Arial"/>
          <w:color w:val="000000" w:themeColor="text1"/>
          <w:sz w:val="22"/>
          <w:szCs w:val="22"/>
        </w:rPr>
        <w:t>The remainder of this</w:t>
      </w:r>
      <w:r w:rsidR="003248E7">
        <w:rPr>
          <w:rFonts w:ascii="Arial" w:hAnsi="Arial" w:cs="Arial"/>
          <w:color w:val="000000" w:themeColor="text1"/>
          <w:sz w:val="22"/>
          <w:szCs w:val="22"/>
        </w:rPr>
        <w:t xml:space="preserve"> note focuses on proxies</w:t>
      </w:r>
      <w:r w:rsidR="008B4271">
        <w:rPr>
          <w:rFonts w:ascii="Arial" w:hAnsi="Arial" w:cs="Arial"/>
          <w:color w:val="000000" w:themeColor="text1"/>
          <w:sz w:val="22"/>
          <w:szCs w:val="22"/>
        </w:rPr>
        <w:t xml:space="preserve"> A,</w:t>
      </w:r>
      <w:r w:rsidR="00830362">
        <w:rPr>
          <w:rFonts w:ascii="Arial" w:hAnsi="Arial" w:cs="Arial"/>
          <w:color w:val="000000" w:themeColor="text1"/>
          <w:sz w:val="22"/>
          <w:szCs w:val="22"/>
        </w:rPr>
        <w:t xml:space="preserve"> </w:t>
      </w:r>
      <w:r w:rsidR="008B4271">
        <w:rPr>
          <w:rFonts w:ascii="Arial" w:hAnsi="Arial" w:cs="Arial"/>
          <w:color w:val="000000" w:themeColor="text1"/>
          <w:sz w:val="22"/>
          <w:szCs w:val="22"/>
        </w:rPr>
        <w:t>D and F</w:t>
      </w:r>
      <w:r w:rsidR="00447C01">
        <w:rPr>
          <w:rFonts w:ascii="Arial" w:hAnsi="Arial" w:cs="Arial"/>
          <w:color w:val="000000" w:themeColor="text1"/>
          <w:sz w:val="22"/>
          <w:szCs w:val="22"/>
        </w:rPr>
        <w:t xml:space="preserve">, as </w:t>
      </w:r>
      <w:r w:rsidR="00BA29BF">
        <w:rPr>
          <w:rFonts w:ascii="Arial" w:hAnsi="Arial" w:cs="Arial"/>
          <w:color w:val="000000" w:themeColor="text1"/>
          <w:sz w:val="22"/>
          <w:szCs w:val="22"/>
        </w:rPr>
        <w:t xml:space="preserve">the relevance of these proxies has been questioned by some </w:t>
      </w:r>
      <w:r w:rsidR="003248E7">
        <w:rPr>
          <w:rFonts w:ascii="Arial" w:hAnsi="Arial" w:cs="Arial"/>
          <w:color w:val="000000" w:themeColor="text1"/>
          <w:sz w:val="22"/>
          <w:szCs w:val="22"/>
        </w:rPr>
        <w:t>developed countries</w:t>
      </w:r>
      <w:r w:rsidR="00BA29BF">
        <w:rPr>
          <w:rFonts w:ascii="Arial" w:hAnsi="Arial" w:cs="Arial"/>
          <w:color w:val="000000" w:themeColor="text1"/>
          <w:sz w:val="22"/>
          <w:szCs w:val="22"/>
        </w:rPr>
        <w:t>.</w:t>
      </w:r>
      <w:r w:rsidR="003248E7">
        <w:rPr>
          <w:rFonts w:ascii="Arial" w:hAnsi="Arial" w:cs="Arial"/>
          <w:color w:val="000000" w:themeColor="text1"/>
          <w:sz w:val="22"/>
          <w:szCs w:val="22"/>
        </w:rPr>
        <w:t xml:space="preserve"> </w:t>
      </w:r>
    </w:p>
    <w:p w14:paraId="2044FCF2" w14:textId="77777777" w:rsidR="008B4271" w:rsidRDefault="008B4271" w:rsidP="00FF605C">
      <w:pPr>
        <w:ind w:left="0" w:firstLine="0"/>
        <w:rPr>
          <w:rFonts w:ascii="Arial" w:hAnsi="Arial" w:cs="Arial"/>
          <w:color w:val="000000" w:themeColor="text1"/>
          <w:sz w:val="22"/>
          <w:szCs w:val="22"/>
        </w:rPr>
      </w:pPr>
    </w:p>
    <w:p w14:paraId="11A8972D" w14:textId="77777777" w:rsidR="008A7F45" w:rsidRDefault="008A7F45" w:rsidP="00FF605C">
      <w:pPr>
        <w:ind w:left="0" w:firstLine="0"/>
        <w:rPr>
          <w:rFonts w:ascii="Arial" w:hAnsi="Arial" w:cs="Arial"/>
          <w:color w:val="000000" w:themeColor="text1"/>
          <w:sz w:val="22"/>
          <w:szCs w:val="22"/>
        </w:rPr>
      </w:pPr>
    </w:p>
    <w:p w14:paraId="0BBC42DD" w14:textId="176D1973" w:rsidR="00830362" w:rsidRPr="0099722B" w:rsidRDefault="00F91325" w:rsidP="0099722B">
      <w:pPr>
        <w:pStyle w:val="ListParagraph"/>
        <w:widowControl w:val="0"/>
        <w:numPr>
          <w:ilvl w:val="0"/>
          <w:numId w:val="27"/>
        </w:numPr>
        <w:contextualSpacing w:val="0"/>
        <w:rPr>
          <w:rFonts w:ascii="Arial" w:hAnsi="Arial" w:cs="Arial"/>
          <w:b/>
          <w:color w:val="5B9BD5" w:themeColor="accent1"/>
          <w:sz w:val="22"/>
          <w:szCs w:val="24"/>
        </w:rPr>
      </w:pPr>
      <w:r>
        <w:rPr>
          <w:rFonts w:ascii="Arial" w:hAnsi="Arial" w:cs="Arial"/>
          <w:b/>
          <w:color w:val="5B9BD5" w:themeColor="accent1"/>
          <w:sz w:val="22"/>
          <w:szCs w:val="24"/>
        </w:rPr>
        <w:t xml:space="preserve">Relevance of </w:t>
      </w:r>
      <w:r w:rsidR="00830362" w:rsidRPr="00F91325">
        <w:rPr>
          <w:rFonts w:ascii="Arial" w:hAnsi="Arial" w:cs="Arial"/>
          <w:b/>
          <w:color w:val="5B9BD5" w:themeColor="accent1"/>
          <w:sz w:val="22"/>
          <w:szCs w:val="24"/>
        </w:rPr>
        <w:t>PROXY A</w:t>
      </w:r>
      <w:r w:rsidR="0099722B">
        <w:rPr>
          <w:rFonts w:ascii="Arial" w:hAnsi="Arial" w:cs="Arial"/>
          <w:b/>
          <w:color w:val="5B9BD5" w:themeColor="accent1"/>
          <w:sz w:val="22"/>
          <w:szCs w:val="24"/>
        </w:rPr>
        <w:t xml:space="preserve">: </w:t>
      </w:r>
      <w:r w:rsidR="0099722B" w:rsidRPr="0099722B">
        <w:rPr>
          <w:rFonts w:ascii="Arial" w:hAnsi="Arial" w:cs="Arial"/>
          <w:b/>
          <w:color w:val="5B9BD5" w:themeColor="accent1"/>
          <w:sz w:val="22"/>
          <w:szCs w:val="24"/>
        </w:rPr>
        <w:t xml:space="preserve">Joint registration of land </w:t>
      </w:r>
      <w:r w:rsidR="0099722B">
        <w:rPr>
          <w:rFonts w:ascii="Arial" w:hAnsi="Arial" w:cs="Arial"/>
          <w:b/>
          <w:color w:val="5B9BD5" w:themeColor="accent1"/>
          <w:sz w:val="22"/>
          <w:szCs w:val="24"/>
        </w:rPr>
        <w:t xml:space="preserve">is </w:t>
      </w:r>
      <w:r w:rsidR="0099722B" w:rsidRPr="0099722B">
        <w:rPr>
          <w:rFonts w:ascii="Arial" w:hAnsi="Arial" w:cs="Arial"/>
          <w:b/>
          <w:color w:val="5B9BD5" w:themeColor="accent1"/>
          <w:sz w:val="22"/>
          <w:szCs w:val="24"/>
        </w:rPr>
        <w:t>compulsory or encouraged through economic incentives</w:t>
      </w:r>
    </w:p>
    <w:p w14:paraId="505DBD86" w14:textId="77777777" w:rsidR="00830362" w:rsidRDefault="00830362" w:rsidP="00FF605C">
      <w:pPr>
        <w:ind w:left="0" w:firstLine="0"/>
        <w:rPr>
          <w:rFonts w:ascii="Arial" w:hAnsi="Arial" w:cs="Arial"/>
          <w:color w:val="000000" w:themeColor="text1"/>
          <w:sz w:val="22"/>
          <w:szCs w:val="22"/>
        </w:rPr>
      </w:pPr>
    </w:p>
    <w:p w14:paraId="373CA216" w14:textId="77777777" w:rsidR="0064599D" w:rsidRDefault="00975B2C" w:rsidP="00FF605C">
      <w:pPr>
        <w:ind w:left="0" w:firstLine="0"/>
        <w:rPr>
          <w:rFonts w:ascii="Arial" w:hAnsi="Arial" w:cs="Arial"/>
          <w:color w:val="000000" w:themeColor="text1"/>
          <w:sz w:val="22"/>
          <w:szCs w:val="22"/>
        </w:rPr>
      </w:pPr>
      <w:r>
        <w:rPr>
          <w:rFonts w:ascii="Arial" w:hAnsi="Arial" w:cs="Arial"/>
          <w:color w:val="000000" w:themeColor="text1"/>
          <w:sz w:val="22"/>
          <w:szCs w:val="22"/>
        </w:rPr>
        <w:t>Legal provisions providing for compulsory or encouraged jo</w:t>
      </w:r>
      <w:r w:rsidRPr="00B4270F">
        <w:rPr>
          <w:rFonts w:ascii="Arial" w:hAnsi="Arial" w:cs="Arial"/>
          <w:color w:val="000000" w:themeColor="text1"/>
          <w:sz w:val="22"/>
          <w:szCs w:val="22"/>
        </w:rPr>
        <w:t xml:space="preserve">int </w:t>
      </w:r>
      <w:r w:rsidR="0064599D" w:rsidRPr="00B4270F">
        <w:rPr>
          <w:rFonts w:ascii="Arial" w:hAnsi="Arial" w:cs="Arial"/>
          <w:color w:val="000000" w:themeColor="text1"/>
          <w:sz w:val="22"/>
          <w:szCs w:val="22"/>
        </w:rPr>
        <w:t xml:space="preserve">registration </w:t>
      </w:r>
      <w:r>
        <w:rPr>
          <w:rFonts w:ascii="Arial" w:hAnsi="Arial" w:cs="Arial"/>
          <w:color w:val="000000" w:themeColor="text1"/>
          <w:sz w:val="22"/>
          <w:szCs w:val="22"/>
        </w:rPr>
        <w:t>are</w:t>
      </w:r>
      <w:r w:rsidR="007909E0">
        <w:rPr>
          <w:rFonts w:ascii="Arial" w:hAnsi="Arial" w:cs="Arial"/>
          <w:color w:val="000000" w:themeColor="text1"/>
          <w:sz w:val="22"/>
          <w:szCs w:val="22"/>
        </w:rPr>
        <w:t xml:space="preserve"> </w:t>
      </w:r>
      <w:r w:rsidR="00203CF4" w:rsidRPr="00B4270F">
        <w:rPr>
          <w:rFonts w:ascii="Arial" w:hAnsi="Arial" w:cs="Arial"/>
          <w:color w:val="000000" w:themeColor="text1"/>
          <w:sz w:val="22"/>
          <w:szCs w:val="22"/>
        </w:rPr>
        <w:t xml:space="preserve">important </w:t>
      </w:r>
      <w:r>
        <w:rPr>
          <w:rFonts w:ascii="Arial" w:hAnsi="Arial" w:cs="Arial"/>
          <w:color w:val="000000" w:themeColor="text1"/>
          <w:sz w:val="22"/>
          <w:szCs w:val="22"/>
        </w:rPr>
        <w:t xml:space="preserve">for the </w:t>
      </w:r>
      <w:r w:rsidRPr="007909E0">
        <w:rPr>
          <w:rFonts w:ascii="Arial" w:hAnsi="Arial" w:cs="Arial"/>
          <w:i/>
          <w:color w:val="000000" w:themeColor="text1"/>
          <w:sz w:val="22"/>
          <w:szCs w:val="22"/>
        </w:rPr>
        <w:t>preservation</w:t>
      </w:r>
      <w:r>
        <w:rPr>
          <w:rFonts w:ascii="Arial" w:hAnsi="Arial" w:cs="Arial"/>
          <w:color w:val="000000" w:themeColor="text1"/>
          <w:sz w:val="22"/>
          <w:szCs w:val="22"/>
        </w:rPr>
        <w:t xml:space="preserve"> and </w:t>
      </w:r>
      <w:r w:rsidRPr="007909E0">
        <w:rPr>
          <w:rFonts w:ascii="Arial" w:hAnsi="Arial" w:cs="Arial"/>
          <w:i/>
          <w:color w:val="000000" w:themeColor="text1"/>
          <w:sz w:val="22"/>
          <w:szCs w:val="22"/>
        </w:rPr>
        <w:t>advancement</w:t>
      </w:r>
      <w:r>
        <w:rPr>
          <w:rFonts w:ascii="Arial" w:hAnsi="Arial" w:cs="Arial"/>
          <w:color w:val="000000" w:themeColor="text1"/>
          <w:sz w:val="22"/>
          <w:szCs w:val="22"/>
        </w:rPr>
        <w:t xml:space="preserve"> of</w:t>
      </w:r>
      <w:r w:rsidRPr="00B4270F">
        <w:rPr>
          <w:rFonts w:ascii="Arial" w:hAnsi="Arial" w:cs="Arial"/>
          <w:color w:val="000000" w:themeColor="text1"/>
          <w:sz w:val="22"/>
          <w:szCs w:val="22"/>
        </w:rPr>
        <w:t xml:space="preserve"> </w:t>
      </w:r>
      <w:r w:rsidR="0064599D" w:rsidRPr="00B4270F">
        <w:rPr>
          <w:rFonts w:ascii="Arial" w:hAnsi="Arial" w:cs="Arial"/>
          <w:color w:val="000000" w:themeColor="text1"/>
          <w:sz w:val="22"/>
          <w:szCs w:val="22"/>
        </w:rPr>
        <w:t>women’s land rights</w:t>
      </w:r>
      <w:r w:rsidR="007909E0">
        <w:rPr>
          <w:rFonts w:ascii="Arial" w:hAnsi="Arial" w:cs="Arial"/>
          <w:color w:val="000000" w:themeColor="text1"/>
          <w:sz w:val="22"/>
          <w:szCs w:val="22"/>
        </w:rPr>
        <w:t>,</w:t>
      </w:r>
      <w:r>
        <w:rPr>
          <w:rFonts w:ascii="Arial" w:hAnsi="Arial" w:cs="Arial"/>
          <w:color w:val="000000" w:themeColor="text1"/>
          <w:sz w:val="22"/>
          <w:szCs w:val="22"/>
        </w:rPr>
        <w:t xml:space="preserve"> regardless of </w:t>
      </w:r>
      <w:r w:rsidR="00815F9C">
        <w:rPr>
          <w:rFonts w:ascii="Arial" w:hAnsi="Arial" w:cs="Arial"/>
          <w:color w:val="000000" w:themeColor="text1"/>
          <w:sz w:val="22"/>
          <w:szCs w:val="22"/>
        </w:rPr>
        <w:t>a</w:t>
      </w:r>
      <w:r>
        <w:rPr>
          <w:rFonts w:ascii="Arial" w:hAnsi="Arial" w:cs="Arial"/>
          <w:color w:val="000000" w:themeColor="text1"/>
          <w:sz w:val="22"/>
          <w:szCs w:val="22"/>
        </w:rPr>
        <w:t xml:space="preserve"> country’s level of economic development. </w:t>
      </w:r>
    </w:p>
    <w:p w14:paraId="2C22E8C1" w14:textId="77777777" w:rsidR="00915800" w:rsidRPr="008B4271" w:rsidRDefault="00915800" w:rsidP="008B4271">
      <w:pPr>
        <w:widowControl w:val="0"/>
        <w:ind w:left="0" w:firstLine="0"/>
        <w:contextualSpacing w:val="0"/>
        <w:rPr>
          <w:rFonts w:ascii="Arial" w:hAnsi="Arial" w:cs="Arial"/>
          <w:color w:val="000000" w:themeColor="text1"/>
          <w:sz w:val="22"/>
          <w:szCs w:val="22"/>
        </w:rPr>
      </w:pPr>
    </w:p>
    <w:p w14:paraId="524807E2" w14:textId="77777777" w:rsidR="0095144C" w:rsidRPr="00830362" w:rsidRDefault="00942F14" w:rsidP="00830362">
      <w:pPr>
        <w:ind w:left="0" w:firstLine="0"/>
        <w:rPr>
          <w:rFonts w:ascii="Arial" w:hAnsi="Arial" w:cs="Arial"/>
          <w:color w:val="000000" w:themeColor="text1"/>
          <w:sz w:val="22"/>
          <w:szCs w:val="22"/>
        </w:rPr>
      </w:pPr>
      <w:r w:rsidRPr="00830362">
        <w:rPr>
          <w:rFonts w:ascii="Arial" w:hAnsi="Arial" w:cs="Arial"/>
          <w:color w:val="000000" w:themeColor="text1"/>
          <w:sz w:val="22"/>
          <w:szCs w:val="22"/>
        </w:rPr>
        <w:t xml:space="preserve">Compulsory or encouraged joint registration through financial incentives, while not the only mechanism, is one of the available legal instruments to address this ongoing inequality in land ownership. </w:t>
      </w:r>
      <w:r w:rsidRPr="00830362">
        <w:rPr>
          <w:rFonts w:ascii="Arial" w:hAnsi="Arial" w:cs="Arial"/>
          <w:b/>
          <w:color w:val="000000" w:themeColor="text1"/>
          <w:sz w:val="22"/>
          <w:szCs w:val="22"/>
          <w:lang w:val="en-AU"/>
        </w:rPr>
        <w:t xml:space="preserve">Joint registration is endorsed under international human rights law and has been specifically identified by the Committee on the </w:t>
      </w:r>
      <w:r w:rsidR="005A1A5D">
        <w:rPr>
          <w:rFonts w:ascii="Arial" w:hAnsi="Arial" w:cs="Arial"/>
          <w:b/>
          <w:color w:val="000000" w:themeColor="text1"/>
          <w:sz w:val="22"/>
          <w:szCs w:val="22"/>
          <w:lang w:val="en-AU"/>
        </w:rPr>
        <w:t xml:space="preserve">CEDAW </w:t>
      </w:r>
      <w:r w:rsidRPr="00830362">
        <w:rPr>
          <w:rFonts w:ascii="Arial" w:hAnsi="Arial" w:cs="Arial"/>
          <w:b/>
          <w:color w:val="000000" w:themeColor="text1"/>
          <w:sz w:val="22"/>
          <w:szCs w:val="22"/>
          <w:lang w:val="en-AU"/>
        </w:rPr>
        <w:t xml:space="preserve">as a mechanism to improve women’s ownership of land for </w:t>
      </w:r>
      <w:r w:rsidRPr="00830362">
        <w:rPr>
          <w:rFonts w:ascii="Arial" w:hAnsi="Arial" w:cs="Arial"/>
          <w:b/>
          <w:color w:val="000000" w:themeColor="text1"/>
          <w:sz w:val="22"/>
          <w:szCs w:val="22"/>
          <w:u w:val="single"/>
          <w:lang w:val="en-AU"/>
        </w:rPr>
        <w:t>all</w:t>
      </w:r>
      <w:r w:rsidRPr="00830362">
        <w:rPr>
          <w:rFonts w:ascii="Arial" w:hAnsi="Arial" w:cs="Arial"/>
          <w:b/>
          <w:color w:val="000000" w:themeColor="text1"/>
          <w:sz w:val="22"/>
          <w:szCs w:val="22"/>
          <w:lang w:val="en-AU"/>
        </w:rPr>
        <w:t xml:space="preserve"> countries.</w:t>
      </w:r>
      <w:r>
        <w:rPr>
          <w:rStyle w:val="FootnoteReference"/>
          <w:rFonts w:ascii="Arial" w:hAnsi="Arial" w:cs="Arial"/>
          <w:b/>
          <w:color w:val="000000" w:themeColor="text1"/>
          <w:sz w:val="22"/>
          <w:szCs w:val="22"/>
          <w:lang w:val="en-AU"/>
        </w:rPr>
        <w:footnoteReference w:id="2"/>
      </w:r>
    </w:p>
    <w:p w14:paraId="306345CA" w14:textId="77777777" w:rsidR="0095144C" w:rsidRPr="00B4270F" w:rsidRDefault="0095144C" w:rsidP="00B87D18">
      <w:pPr>
        <w:ind w:left="0" w:firstLine="0"/>
        <w:rPr>
          <w:rFonts w:ascii="Arial" w:hAnsi="Arial" w:cs="Arial"/>
          <w:color w:val="000000" w:themeColor="text1"/>
          <w:sz w:val="22"/>
          <w:szCs w:val="22"/>
        </w:rPr>
      </w:pPr>
    </w:p>
    <w:p w14:paraId="6B79244E" w14:textId="77777777" w:rsidR="00CF2041" w:rsidRPr="00830362" w:rsidRDefault="00915800" w:rsidP="00830362">
      <w:pPr>
        <w:ind w:left="0" w:firstLine="0"/>
        <w:rPr>
          <w:rFonts w:ascii="Arial" w:hAnsi="Arial" w:cs="Arial"/>
          <w:color w:val="000000" w:themeColor="text1"/>
          <w:sz w:val="22"/>
          <w:szCs w:val="22"/>
        </w:rPr>
      </w:pPr>
      <w:r w:rsidRPr="00830362">
        <w:rPr>
          <w:rFonts w:ascii="Arial" w:hAnsi="Arial" w:cs="Arial"/>
          <w:b/>
          <w:color w:val="000000" w:themeColor="text1"/>
          <w:sz w:val="22"/>
          <w:szCs w:val="22"/>
        </w:rPr>
        <w:t>T</w:t>
      </w:r>
      <w:r w:rsidR="00815F9C" w:rsidRPr="00830362">
        <w:rPr>
          <w:rFonts w:ascii="Arial" w:hAnsi="Arial" w:cs="Arial"/>
          <w:b/>
          <w:color w:val="000000" w:themeColor="text1"/>
          <w:sz w:val="22"/>
          <w:szCs w:val="22"/>
        </w:rPr>
        <w:t xml:space="preserve">he </w:t>
      </w:r>
      <w:r w:rsidR="00B022E6" w:rsidRPr="00830362">
        <w:rPr>
          <w:rFonts w:ascii="Arial" w:hAnsi="Arial" w:cs="Arial"/>
          <w:b/>
          <w:color w:val="000000" w:themeColor="text1"/>
          <w:sz w:val="22"/>
          <w:szCs w:val="22"/>
        </w:rPr>
        <w:t>l</w:t>
      </w:r>
      <w:r w:rsidR="00815F9C" w:rsidRPr="00830362">
        <w:rPr>
          <w:rFonts w:ascii="Arial" w:hAnsi="Arial" w:cs="Arial"/>
          <w:b/>
          <w:color w:val="000000" w:themeColor="text1"/>
          <w:sz w:val="22"/>
          <w:szCs w:val="22"/>
        </w:rPr>
        <w:t>egal</w:t>
      </w:r>
      <w:r w:rsidR="007909E0" w:rsidRPr="00830362">
        <w:rPr>
          <w:rFonts w:ascii="Arial" w:hAnsi="Arial" w:cs="Arial"/>
          <w:b/>
          <w:color w:val="000000" w:themeColor="text1"/>
          <w:sz w:val="22"/>
          <w:szCs w:val="22"/>
        </w:rPr>
        <w:t xml:space="preserve"> r</w:t>
      </w:r>
      <w:r w:rsidR="008C492C" w:rsidRPr="00830362">
        <w:rPr>
          <w:rFonts w:ascii="Arial" w:hAnsi="Arial" w:cs="Arial"/>
          <w:b/>
          <w:color w:val="000000" w:themeColor="text1"/>
          <w:sz w:val="22"/>
          <w:szCs w:val="22"/>
        </w:rPr>
        <w:t xml:space="preserve">ecognition of a default </w:t>
      </w:r>
      <w:r w:rsidR="00AA5732" w:rsidRPr="00830362">
        <w:rPr>
          <w:rFonts w:ascii="Arial" w:hAnsi="Arial" w:cs="Arial"/>
          <w:b/>
          <w:color w:val="000000" w:themeColor="text1"/>
          <w:sz w:val="22"/>
          <w:szCs w:val="22"/>
        </w:rPr>
        <w:t xml:space="preserve">(full or partial) </w:t>
      </w:r>
      <w:r w:rsidR="001A10CB" w:rsidRPr="00830362">
        <w:rPr>
          <w:rFonts w:ascii="Arial" w:hAnsi="Arial" w:cs="Arial"/>
          <w:b/>
          <w:i/>
          <w:color w:val="000000" w:themeColor="text1"/>
          <w:sz w:val="22"/>
          <w:szCs w:val="22"/>
        </w:rPr>
        <w:t>community of property regime</w:t>
      </w:r>
      <w:r w:rsidR="00E44F8A" w:rsidRPr="00830362">
        <w:rPr>
          <w:rFonts w:ascii="Arial" w:hAnsi="Arial" w:cs="Arial"/>
          <w:b/>
          <w:color w:val="000000" w:themeColor="text1"/>
          <w:sz w:val="22"/>
          <w:szCs w:val="22"/>
        </w:rPr>
        <w:t xml:space="preserve"> –</w:t>
      </w:r>
      <w:r w:rsidR="00073F40" w:rsidRPr="00830362">
        <w:rPr>
          <w:rFonts w:ascii="Arial" w:hAnsi="Arial" w:cs="Arial"/>
          <w:b/>
          <w:color w:val="000000" w:themeColor="text1"/>
          <w:sz w:val="22"/>
          <w:szCs w:val="22"/>
        </w:rPr>
        <w:t xml:space="preserve"> </w:t>
      </w:r>
      <w:r w:rsidR="00E44F8A" w:rsidRPr="00830362">
        <w:rPr>
          <w:rFonts w:ascii="Arial" w:hAnsi="Arial" w:cs="Arial"/>
          <w:b/>
          <w:color w:val="000000" w:themeColor="text1"/>
          <w:sz w:val="22"/>
          <w:szCs w:val="22"/>
        </w:rPr>
        <w:t>characteristic of many European states</w:t>
      </w:r>
      <w:r w:rsidR="00187539" w:rsidRPr="00830362">
        <w:rPr>
          <w:rFonts w:ascii="Arial" w:hAnsi="Arial" w:cs="Arial"/>
          <w:b/>
          <w:color w:val="000000" w:themeColor="text1"/>
          <w:sz w:val="22"/>
          <w:szCs w:val="22"/>
        </w:rPr>
        <w:t xml:space="preserve"> –</w:t>
      </w:r>
      <w:r w:rsidR="001A10CB" w:rsidRPr="00830362">
        <w:rPr>
          <w:rFonts w:ascii="Arial" w:hAnsi="Arial" w:cs="Arial"/>
          <w:b/>
          <w:color w:val="000000" w:themeColor="text1"/>
          <w:sz w:val="22"/>
          <w:szCs w:val="22"/>
        </w:rPr>
        <w:t xml:space="preserve"> </w:t>
      </w:r>
      <w:r w:rsidR="0081447E" w:rsidRPr="00830362">
        <w:rPr>
          <w:rFonts w:ascii="Arial" w:hAnsi="Arial" w:cs="Arial"/>
          <w:b/>
          <w:color w:val="000000" w:themeColor="text1"/>
          <w:sz w:val="22"/>
          <w:szCs w:val="22"/>
        </w:rPr>
        <w:t xml:space="preserve">is </w:t>
      </w:r>
      <w:r w:rsidR="00815F9C" w:rsidRPr="00830362">
        <w:rPr>
          <w:rFonts w:ascii="Arial" w:hAnsi="Arial" w:cs="Arial"/>
          <w:b/>
          <w:color w:val="000000" w:themeColor="text1"/>
          <w:sz w:val="22"/>
          <w:szCs w:val="22"/>
          <w:u w:val="single"/>
        </w:rPr>
        <w:t>insufficient</w:t>
      </w:r>
      <w:r w:rsidR="00815F9C" w:rsidRPr="00830362">
        <w:rPr>
          <w:rFonts w:ascii="Arial" w:hAnsi="Arial" w:cs="Arial"/>
          <w:b/>
          <w:color w:val="000000" w:themeColor="text1"/>
          <w:sz w:val="22"/>
          <w:szCs w:val="22"/>
        </w:rPr>
        <w:t xml:space="preserve"> to protect and advance women’s property rights.</w:t>
      </w:r>
      <w:r w:rsidR="00815F9C" w:rsidRPr="00830362">
        <w:rPr>
          <w:rFonts w:ascii="Arial" w:hAnsi="Arial" w:cs="Arial"/>
          <w:color w:val="000000" w:themeColor="text1"/>
          <w:sz w:val="22"/>
          <w:szCs w:val="22"/>
        </w:rPr>
        <w:t xml:space="preserve"> Although such provisions ensure that</w:t>
      </w:r>
      <w:r w:rsidR="00B022E6" w:rsidRPr="00830362">
        <w:rPr>
          <w:rFonts w:ascii="Arial" w:hAnsi="Arial" w:cs="Arial"/>
          <w:color w:val="000000" w:themeColor="text1"/>
          <w:sz w:val="22"/>
          <w:szCs w:val="22"/>
        </w:rPr>
        <w:t xml:space="preserve"> </w:t>
      </w:r>
      <w:r w:rsidR="001A10CB" w:rsidRPr="00830362">
        <w:rPr>
          <w:rFonts w:ascii="Arial" w:hAnsi="Arial" w:cs="Arial"/>
          <w:color w:val="000000" w:themeColor="text1"/>
          <w:sz w:val="22"/>
          <w:szCs w:val="22"/>
        </w:rPr>
        <w:t>prop</w:t>
      </w:r>
      <w:r w:rsidR="008C492C" w:rsidRPr="00830362">
        <w:rPr>
          <w:rFonts w:ascii="Arial" w:hAnsi="Arial" w:cs="Arial"/>
          <w:color w:val="000000" w:themeColor="text1"/>
          <w:sz w:val="22"/>
          <w:szCs w:val="22"/>
        </w:rPr>
        <w:t xml:space="preserve">erty acquired </w:t>
      </w:r>
      <w:r w:rsidR="00AA5732" w:rsidRPr="00830362">
        <w:rPr>
          <w:rFonts w:ascii="Arial" w:hAnsi="Arial" w:cs="Arial"/>
          <w:color w:val="000000" w:themeColor="text1"/>
          <w:sz w:val="22"/>
          <w:szCs w:val="22"/>
        </w:rPr>
        <w:t xml:space="preserve">before and/or </w:t>
      </w:r>
      <w:r w:rsidR="00051759" w:rsidRPr="00830362">
        <w:rPr>
          <w:rFonts w:ascii="Arial" w:hAnsi="Arial" w:cs="Arial"/>
          <w:color w:val="000000" w:themeColor="text1"/>
          <w:sz w:val="22"/>
          <w:szCs w:val="22"/>
        </w:rPr>
        <w:t>during</w:t>
      </w:r>
      <w:r w:rsidR="008C492C" w:rsidRPr="00830362">
        <w:rPr>
          <w:rFonts w:ascii="Arial" w:hAnsi="Arial" w:cs="Arial"/>
          <w:color w:val="000000" w:themeColor="text1"/>
          <w:sz w:val="22"/>
          <w:szCs w:val="22"/>
        </w:rPr>
        <w:t xml:space="preserve"> marriage is jointly owned or co-</w:t>
      </w:r>
      <w:r w:rsidR="00DA705E" w:rsidRPr="00830362">
        <w:rPr>
          <w:rFonts w:ascii="Arial" w:hAnsi="Arial" w:cs="Arial"/>
          <w:color w:val="000000" w:themeColor="text1"/>
          <w:sz w:val="22"/>
          <w:szCs w:val="22"/>
        </w:rPr>
        <w:t>owned by both spouses</w:t>
      </w:r>
      <w:r w:rsidR="001F2629" w:rsidRPr="00830362">
        <w:rPr>
          <w:rFonts w:ascii="Arial" w:hAnsi="Arial" w:cs="Arial"/>
          <w:color w:val="000000" w:themeColor="text1"/>
          <w:sz w:val="22"/>
          <w:szCs w:val="22"/>
        </w:rPr>
        <w:t>,</w:t>
      </w:r>
      <w:r w:rsidR="00AA5732" w:rsidRPr="00830362">
        <w:rPr>
          <w:rFonts w:ascii="Arial" w:hAnsi="Arial" w:cs="Arial"/>
          <w:color w:val="000000" w:themeColor="text1"/>
          <w:sz w:val="22"/>
          <w:szCs w:val="22"/>
          <w:lang w:val="en-AU"/>
        </w:rPr>
        <w:t xml:space="preserve"> </w:t>
      </w:r>
      <w:r w:rsidR="00815F9C" w:rsidRPr="00830362">
        <w:rPr>
          <w:rFonts w:ascii="Arial" w:hAnsi="Arial" w:cs="Arial"/>
          <w:color w:val="000000" w:themeColor="text1"/>
          <w:sz w:val="22"/>
          <w:szCs w:val="22"/>
          <w:lang w:val="en-AU"/>
        </w:rPr>
        <w:t xml:space="preserve">in reality </w:t>
      </w:r>
      <w:r w:rsidR="00AA5732" w:rsidRPr="00830362">
        <w:rPr>
          <w:rFonts w:ascii="Arial" w:hAnsi="Arial" w:cs="Arial"/>
          <w:color w:val="000000" w:themeColor="text1"/>
          <w:sz w:val="22"/>
          <w:szCs w:val="22"/>
          <w:lang w:val="en-AU"/>
        </w:rPr>
        <w:t>property that</w:t>
      </w:r>
      <w:r w:rsidR="008C492C" w:rsidRPr="00830362">
        <w:rPr>
          <w:rFonts w:ascii="Arial" w:hAnsi="Arial" w:cs="Arial"/>
          <w:color w:val="000000" w:themeColor="text1"/>
          <w:sz w:val="22"/>
          <w:szCs w:val="22"/>
          <w:lang w:val="en-AU"/>
        </w:rPr>
        <w:t xml:space="preserve"> spouses acquire during </w:t>
      </w:r>
      <w:r w:rsidR="00D10D2F" w:rsidRPr="00830362">
        <w:rPr>
          <w:rFonts w:ascii="Arial" w:hAnsi="Arial" w:cs="Arial"/>
          <w:color w:val="000000" w:themeColor="text1"/>
          <w:sz w:val="22"/>
          <w:szCs w:val="22"/>
          <w:lang w:val="en-AU"/>
        </w:rPr>
        <w:t>marriage</w:t>
      </w:r>
      <w:r w:rsidR="00966F3D" w:rsidRPr="00830362">
        <w:rPr>
          <w:rFonts w:ascii="Arial" w:hAnsi="Arial" w:cs="Arial"/>
          <w:color w:val="000000" w:themeColor="text1"/>
          <w:sz w:val="22"/>
          <w:szCs w:val="22"/>
          <w:lang w:val="en-AU"/>
        </w:rPr>
        <w:t xml:space="preserve"> </w:t>
      </w:r>
      <w:r w:rsidR="00203CF4" w:rsidRPr="00830362">
        <w:rPr>
          <w:rFonts w:ascii="Arial" w:hAnsi="Arial" w:cs="Arial"/>
          <w:color w:val="000000" w:themeColor="text1"/>
          <w:sz w:val="22"/>
          <w:szCs w:val="22"/>
          <w:lang w:val="en-AU"/>
        </w:rPr>
        <w:t xml:space="preserve">is </w:t>
      </w:r>
      <w:r w:rsidR="009E11AE" w:rsidRPr="00830362">
        <w:rPr>
          <w:rFonts w:ascii="Arial" w:hAnsi="Arial" w:cs="Arial"/>
          <w:color w:val="000000" w:themeColor="text1"/>
          <w:sz w:val="22"/>
          <w:szCs w:val="22"/>
          <w:lang w:val="en-AU"/>
        </w:rPr>
        <w:t>often still</w:t>
      </w:r>
      <w:r w:rsidR="00975B2C" w:rsidRPr="00830362">
        <w:rPr>
          <w:rFonts w:ascii="Arial" w:hAnsi="Arial" w:cs="Arial"/>
          <w:color w:val="000000" w:themeColor="text1"/>
          <w:sz w:val="22"/>
          <w:szCs w:val="22"/>
          <w:lang w:val="en-AU"/>
        </w:rPr>
        <w:t xml:space="preserve"> </w:t>
      </w:r>
      <w:r w:rsidR="008C492C" w:rsidRPr="00830362">
        <w:rPr>
          <w:rFonts w:ascii="Arial" w:hAnsi="Arial" w:cs="Arial"/>
          <w:i/>
          <w:color w:val="000000" w:themeColor="text1"/>
          <w:sz w:val="22"/>
          <w:szCs w:val="22"/>
          <w:lang w:val="en-AU"/>
        </w:rPr>
        <w:t>registered</w:t>
      </w:r>
      <w:r w:rsidR="008C492C" w:rsidRPr="00830362">
        <w:rPr>
          <w:rFonts w:ascii="Arial" w:hAnsi="Arial" w:cs="Arial"/>
          <w:color w:val="000000" w:themeColor="text1"/>
          <w:sz w:val="22"/>
          <w:szCs w:val="22"/>
          <w:lang w:val="en-AU"/>
        </w:rPr>
        <w:t xml:space="preserve"> in the name of the husband</w:t>
      </w:r>
      <w:r w:rsidR="00966F3D" w:rsidRPr="00830362">
        <w:rPr>
          <w:rFonts w:ascii="Arial" w:hAnsi="Arial" w:cs="Arial"/>
          <w:color w:val="000000" w:themeColor="text1"/>
          <w:sz w:val="22"/>
          <w:szCs w:val="22"/>
          <w:lang w:val="en-AU"/>
        </w:rPr>
        <w:t xml:space="preserve"> in </w:t>
      </w:r>
      <w:r w:rsidR="009E11AE" w:rsidRPr="00830362">
        <w:rPr>
          <w:rFonts w:ascii="Arial" w:hAnsi="Arial" w:cs="Arial"/>
          <w:color w:val="000000" w:themeColor="text1"/>
          <w:sz w:val="22"/>
          <w:szCs w:val="22"/>
          <w:lang w:val="en-AU"/>
        </w:rPr>
        <w:t xml:space="preserve">many </w:t>
      </w:r>
      <w:r w:rsidR="00BC5D6A" w:rsidRPr="00830362">
        <w:rPr>
          <w:rFonts w:ascii="Arial" w:hAnsi="Arial" w:cs="Arial"/>
          <w:color w:val="000000" w:themeColor="text1"/>
          <w:sz w:val="22"/>
          <w:szCs w:val="22"/>
          <w:lang w:val="en-AU"/>
        </w:rPr>
        <w:t>countries</w:t>
      </w:r>
      <w:r w:rsidR="00966F3D" w:rsidRPr="00830362">
        <w:rPr>
          <w:rFonts w:ascii="Arial" w:hAnsi="Arial" w:cs="Arial"/>
          <w:color w:val="000000" w:themeColor="text1"/>
          <w:sz w:val="22"/>
          <w:szCs w:val="22"/>
          <w:lang w:val="en-AU"/>
        </w:rPr>
        <w:t>,</w:t>
      </w:r>
      <w:r w:rsidR="002A5989" w:rsidRPr="00830362">
        <w:rPr>
          <w:rFonts w:ascii="Arial" w:hAnsi="Arial" w:cs="Arial"/>
          <w:color w:val="000000" w:themeColor="text1"/>
          <w:sz w:val="22"/>
          <w:szCs w:val="22"/>
          <w:lang w:val="en-AU"/>
        </w:rPr>
        <w:t xml:space="preserve"> including </w:t>
      </w:r>
      <w:r w:rsidR="00975B2C" w:rsidRPr="00830362">
        <w:rPr>
          <w:rFonts w:ascii="Arial" w:hAnsi="Arial" w:cs="Arial"/>
          <w:color w:val="000000" w:themeColor="text1"/>
          <w:sz w:val="22"/>
          <w:szCs w:val="22"/>
          <w:lang w:val="en-AU"/>
        </w:rPr>
        <w:t xml:space="preserve">countries </w:t>
      </w:r>
      <w:r w:rsidR="002A5989" w:rsidRPr="00830362">
        <w:rPr>
          <w:rFonts w:ascii="Arial" w:hAnsi="Arial" w:cs="Arial"/>
          <w:color w:val="000000" w:themeColor="text1"/>
          <w:sz w:val="22"/>
          <w:szCs w:val="22"/>
          <w:lang w:val="en-AU"/>
        </w:rPr>
        <w:t>in</w:t>
      </w:r>
      <w:r w:rsidR="00966F3D" w:rsidRPr="00830362">
        <w:rPr>
          <w:rFonts w:ascii="Arial" w:hAnsi="Arial" w:cs="Arial"/>
          <w:color w:val="000000" w:themeColor="text1"/>
          <w:sz w:val="22"/>
          <w:szCs w:val="22"/>
          <w:lang w:val="en-AU"/>
        </w:rPr>
        <w:t xml:space="preserve"> the European region</w:t>
      </w:r>
      <w:r w:rsidR="008C492C" w:rsidRPr="00830362">
        <w:rPr>
          <w:rFonts w:ascii="Arial" w:hAnsi="Arial" w:cs="Arial"/>
          <w:color w:val="000000" w:themeColor="text1"/>
          <w:sz w:val="22"/>
          <w:szCs w:val="22"/>
          <w:lang w:val="en-AU"/>
        </w:rPr>
        <w:t>.</w:t>
      </w:r>
      <w:r w:rsidR="00D10D2F" w:rsidRPr="00B022E6">
        <w:rPr>
          <w:rStyle w:val="FootnoteReference"/>
          <w:rFonts w:ascii="Arial" w:hAnsi="Arial" w:cs="Arial"/>
          <w:color w:val="000000" w:themeColor="text1"/>
          <w:sz w:val="22"/>
          <w:szCs w:val="22"/>
          <w:lang w:val="en-AU"/>
        </w:rPr>
        <w:footnoteReference w:id="3"/>
      </w:r>
      <w:r w:rsidR="00D10D2F" w:rsidRPr="00830362">
        <w:rPr>
          <w:rFonts w:ascii="Arial" w:eastAsiaTheme="minorHAnsi" w:hAnsi="Arial" w:cs="Arial"/>
          <w:b/>
          <w:color w:val="auto"/>
          <w:sz w:val="22"/>
          <w:szCs w:val="22"/>
          <w:lang w:val="en-AU"/>
        </w:rPr>
        <w:t xml:space="preserve"> </w:t>
      </w:r>
      <w:r w:rsidR="00603551" w:rsidRPr="00830362">
        <w:rPr>
          <w:rFonts w:ascii="Arial" w:eastAsiaTheme="minorHAnsi" w:hAnsi="Arial" w:cs="Arial"/>
          <w:color w:val="auto"/>
          <w:sz w:val="22"/>
          <w:szCs w:val="22"/>
          <w:lang w:val="en-AU"/>
        </w:rPr>
        <w:t xml:space="preserve">This places </w:t>
      </w:r>
      <w:r w:rsidR="00BA29BF">
        <w:rPr>
          <w:rFonts w:ascii="Arial" w:eastAsiaTheme="minorHAnsi" w:hAnsi="Arial" w:cs="Arial"/>
          <w:color w:val="auto"/>
          <w:sz w:val="22"/>
          <w:szCs w:val="22"/>
          <w:lang w:val="en-AU"/>
        </w:rPr>
        <w:t>the wife</w:t>
      </w:r>
      <w:r w:rsidR="00BA29BF" w:rsidRPr="00830362">
        <w:rPr>
          <w:rFonts w:ascii="Arial" w:eastAsiaTheme="minorHAnsi" w:hAnsi="Arial" w:cs="Arial"/>
          <w:color w:val="auto"/>
          <w:sz w:val="22"/>
          <w:szCs w:val="22"/>
          <w:lang w:val="en-AU"/>
        </w:rPr>
        <w:t xml:space="preserve"> </w:t>
      </w:r>
      <w:r w:rsidR="00603551" w:rsidRPr="00830362">
        <w:rPr>
          <w:rFonts w:ascii="Arial" w:eastAsiaTheme="minorHAnsi" w:hAnsi="Arial" w:cs="Arial"/>
          <w:color w:val="auto"/>
          <w:sz w:val="22"/>
          <w:szCs w:val="22"/>
          <w:lang w:val="en-AU"/>
        </w:rPr>
        <w:t xml:space="preserve">in a vulnerable position when it comes to </w:t>
      </w:r>
      <w:r w:rsidR="009E11AE" w:rsidRPr="00830362">
        <w:rPr>
          <w:rFonts w:ascii="Arial" w:eastAsiaTheme="minorHAnsi" w:hAnsi="Arial" w:cs="Arial"/>
          <w:color w:val="auto"/>
          <w:sz w:val="22"/>
          <w:szCs w:val="22"/>
          <w:lang w:val="en-AU"/>
        </w:rPr>
        <w:t xml:space="preserve">proving her rights over that property, especially in circumstances where her </w:t>
      </w:r>
      <w:r w:rsidR="00E44F8A" w:rsidRPr="00830362">
        <w:rPr>
          <w:rFonts w:ascii="Arial" w:eastAsiaTheme="minorHAnsi" w:hAnsi="Arial" w:cs="Arial"/>
          <w:color w:val="auto"/>
          <w:sz w:val="22"/>
          <w:szCs w:val="22"/>
          <w:lang w:val="en-AU"/>
        </w:rPr>
        <w:t>husband</w:t>
      </w:r>
      <w:r w:rsidR="009E11AE" w:rsidRPr="00830362">
        <w:rPr>
          <w:rFonts w:ascii="Arial" w:eastAsiaTheme="minorHAnsi" w:hAnsi="Arial" w:cs="Arial"/>
          <w:color w:val="auto"/>
          <w:sz w:val="22"/>
          <w:szCs w:val="22"/>
          <w:lang w:val="en-AU"/>
        </w:rPr>
        <w:t xml:space="preserve"> seeks to</w:t>
      </w:r>
      <w:r w:rsidR="00E44F8A" w:rsidRPr="00830362">
        <w:rPr>
          <w:rFonts w:ascii="Arial" w:eastAsiaTheme="minorHAnsi" w:hAnsi="Arial" w:cs="Arial"/>
          <w:color w:val="auto"/>
          <w:sz w:val="22"/>
          <w:szCs w:val="22"/>
          <w:lang w:val="en-AU"/>
        </w:rPr>
        <w:t xml:space="preserve"> unilateral</w:t>
      </w:r>
      <w:r w:rsidR="009E11AE" w:rsidRPr="00830362">
        <w:rPr>
          <w:rFonts w:ascii="Arial" w:eastAsiaTheme="minorHAnsi" w:hAnsi="Arial" w:cs="Arial"/>
          <w:color w:val="auto"/>
          <w:sz w:val="22"/>
          <w:szCs w:val="22"/>
          <w:lang w:val="en-AU"/>
        </w:rPr>
        <w:t>ly</w:t>
      </w:r>
      <w:r w:rsidR="00815F9C" w:rsidRPr="00830362">
        <w:rPr>
          <w:rFonts w:ascii="Arial" w:eastAsiaTheme="minorHAnsi" w:hAnsi="Arial" w:cs="Arial"/>
          <w:color w:val="auto"/>
          <w:sz w:val="22"/>
          <w:szCs w:val="22"/>
          <w:lang w:val="en-AU"/>
        </w:rPr>
        <w:t xml:space="preserve"> </w:t>
      </w:r>
      <w:r w:rsidR="00B022E6" w:rsidRPr="00830362">
        <w:rPr>
          <w:rFonts w:ascii="Arial" w:eastAsiaTheme="minorHAnsi" w:hAnsi="Arial" w:cs="Arial"/>
          <w:color w:val="auto"/>
          <w:sz w:val="22"/>
          <w:szCs w:val="22"/>
          <w:lang w:val="en-AU"/>
        </w:rPr>
        <w:t>control</w:t>
      </w:r>
      <w:r w:rsidR="009E11AE" w:rsidRPr="00830362">
        <w:rPr>
          <w:rFonts w:ascii="Arial" w:eastAsiaTheme="minorHAnsi" w:hAnsi="Arial" w:cs="Arial"/>
          <w:color w:val="auto"/>
          <w:sz w:val="22"/>
          <w:szCs w:val="22"/>
          <w:lang w:val="en-AU"/>
        </w:rPr>
        <w:t xml:space="preserve"> </w:t>
      </w:r>
      <w:r w:rsidR="00815F9C" w:rsidRPr="00830362">
        <w:rPr>
          <w:rFonts w:ascii="Arial" w:eastAsiaTheme="minorHAnsi" w:hAnsi="Arial" w:cs="Arial"/>
          <w:color w:val="auto"/>
          <w:sz w:val="22"/>
          <w:szCs w:val="22"/>
          <w:lang w:val="en-AU"/>
        </w:rPr>
        <w:t>that</w:t>
      </w:r>
      <w:r w:rsidR="009E11AE" w:rsidRPr="00830362">
        <w:rPr>
          <w:rFonts w:ascii="Arial" w:eastAsiaTheme="minorHAnsi" w:hAnsi="Arial" w:cs="Arial"/>
          <w:color w:val="auto"/>
          <w:sz w:val="22"/>
          <w:szCs w:val="22"/>
          <w:lang w:val="en-AU"/>
        </w:rPr>
        <w:t xml:space="preserve"> property</w:t>
      </w:r>
      <w:r w:rsidR="00603551" w:rsidRPr="00830362">
        <w:rPr>
          <w:rFonts w:ascii="Arial" w:eastAsiaTheme="minorHAnsi" w:hAnsi="Arial" w:cs="Arial"/>
          <w:color w:val="auto"/>
          <w:sz w:val="22"/>
          <w:szCs w:val="22"/>
          <w:lang w:val="en-AU"/>
        </w:rPr>
        <w:t xml:space="preserve">. </w:t>
      </w:r>
      <w:r w:rsidR="00815F9C" w:rsidRPr="00830362">
        <w:rPr>
          <w:rFonts w:ascii="Arial" w:eastAsiaTheme="minorHAnsi" w:hAnsi="Arial" w:cs="Arial"/>
          <w:color w:val="auto"/>
          <w:sz w:val="22"/>
          <w:szCs w:val="22"/>
          <w:lang w:val="en-AU"/>
        </w:rPr>
        <w:t>In the face of a claim by a third party, in many contexts</w:t>
      </w:r>
      <w:r w:rsidR="005D1CAC">
        <w:rPr>
          <w:rFonts w:ascii="Arial" w:eastAsiaTheme="minorHAnsi" w:hAnsi="Arial" w:cs="Arial"/>
          <w:color w:val="auto"/>
          <w:sz w:val="22"/>
          <w:szCs w:val="22"/>
          <w:lang w:val="en-AU"/>
        </w:rPr>
        <w:t xml:space="preserve"> </w:t>
      </w:r>
      <w:r w:rsidR="00815F9C" w:rsidRPr="00830362">
        <w:rPr>
          <w:rFonts w:ascii="Arial" w:eastAsiaTheme="minorHAnsi" w:hAnsi="Arial" w:cs="Arial"/>
          <w:color w:val="auto"/>
          <w:sz w:val="22"/>
          <w:szCs w:val="22"/>
          <w:lang w:val="en-AU"/>
        </w:rPr>
        <w:t xml:space="preserve">the name on the registrar is considered exclusive proof of ownership (in the absence of evidence of fraud). </w:t>
      </w:r>
      <w:r w:rsidR="001F2629" w:rsidRPr="00830362">
        <w:rPr>
          <w:rFonts w:ascii="Arial" w:eastAsiaTheme="minorHAnsi" w:hAnsi="Arial" w:cs="Arial"/>
          <w:color w:val="auto"/>
          <w:sz w:val="22"/>
          <w:szCs w:val="22"/>
          <w:u w:val="single"/>
          <w:lang w:val="en-AU"/>
        </w:rPr>
        <w:t xml:space="preserve">Compulsory registration therefore protects </w:t>
      </w:r>
      <w:r w:rsidR="00BA29BF">
        <w:rPr>
          <w:rFonts w:ascii="Arial" w:eastAsiaTheme="minorHAnsi" w:hAnsi="Arial" w:cs="Arial"/>
          <w:color w:val="auto"/>
          <w:sz w:val="22"/>
          <w:szCs w:val="22"/>
          <w:u w:val="single"/>
          <w:lang w:val="en-AU"/>
        </w:rPr>
        <w:t>a wife</w:t>
      </w:r>
      <w:r w:rsidR="001F2629" w:rsidRPr="00830362">
        <w:rPr>
          <w:rFonts w:ascii="Arial" w:eastAsiaTheme="minorHAnsi" w:hAnsi="Arial" w:cs="Arial"/>
          <w:color w:val="auto"/>
          <w:sz w:val="22"/>
          <w:szCs w:val="22"/>
          <w:u w:val="single"/>
          <w:lang w:val="en-AU"/>
        </w:rPr>
        <w:t xml:space="preserve"> against the risk of arbitrary deprivation/burdens on that property (mortgage</w:t>
      </w:r>
      <w:r w:rsidR="004E7687" w:rsidRPr="00830362">
        <w:rPr>
          <w:rFonts w:ascii="Arial" w:eastAsiaTheme="minorHAnsi" w:hAnsi="Arial" w:cs="Arial"/>
          <w:color w:val="auto"/>
          <w:sz w:val="22"/>
          <w:szCs w:val="22"/>
          <w:u w:val="single"/>
          <w:lang w:val="en-AU"/>
        </w:rPr>
        <w:t>, transfer, bequeath</w:t>
      </w:r>
      <w:r w:rsidR="00BA29BF">
        <w:rPr>
          <w:rFonts w:ascii="Arial" w:eastAsiaTheme="minorHAnsi" w:hAnsi="Arial" w:cs="Arial"/>
          <w:color w:val="auto"/>
          <w:sz w:val="22"/>
          <w:szCs w:val="22"/>
          <w:u w:val="single"/>
          <w:lang w:val="en-AU"/>
        </w:rPr>
        <w:t>s</w:t>
      </w:r>
      <w:r w:rsidR="001F2629" w:rsidRPr="00830362">
        <w:rPr>
          <w:rFonts w:ascii="Arial" w:eastAsiaTheme="minorHAnsi" w:hAnsi="Arial" w:cs="Arial"/>
          <w:color w:val="auto"/>
          <w:sz w:val="22"/>
          <w:szCs w:val="22"/>
          <w:u w:val="single"/>
          <w:lang w:val="en-AU"/>
        </w:rPr>
        <w:t xml:space="preserve"> etc</w:t>
      </w:r>
      <w:r w:rsidR="00CF2041" w:rsidRPr="00830362">
        <w:rPr>
          <w:rFonts w:ascii="Arial" w:eastAsiaTheme="minorHAnsi" w:hAnsi="Arial" w:cs="Arial"/>
          <w:color w:val="auto"/>
          <w:sz w:val="22"/>
          <w:szCs w:val="22"/>
          <w:u w:val="single"/>
          <w:lang w:val="en-AU"/>
        </w:rPr>
        <w:t>.</w:t>
      </w:r>
      <w:r w:rsidR="001F2629" w:rsidRPr="00830362">
        <w:rPr>
          <w:rFonts w:ascii="Arial" w:eastAsiaTheme="minorHAnsi" w:hAnsi="Arial" w:cs="Arial"/>
          <w:color w:val="auto"/>
          <w:sz w:val="22"/>
          <w:szCs w:val="22"/>
          <w:u w:val="single"/>
          <w:lang w:val="en-AU"/>
        </w:rPr>
        <w:t>)</w:t>
      </w:r>
      <w:r w:rsidR="00B022E6" w:rsidRPr="00830362">
        <w:rPr>
          <w:rFonts w:ascii="Arial" w:eastAsiaTheme="minorHAnsi" w:hAnsi="Arial" w:cs="Arial"/>
          <w:color w:val="auto"/>
          <w:sz w:val="22"/>
          <w:szCs w:val="22"/>
          <w:u w:val="single"/>
          <w:lang w:val="en-AU"/>
        </w:rPr>
        <w:t>, in addition to any ‘spousal consent’ provisions</w:t>
      </w:r>
      <w:r w:rsidR="001F2629" w:rsidRPr="00830362">
        <w:rPr>
          <w:rFonts w:ascii="Arial" w:eastAsiaTheme="minorHAnsi" w:hAnsi="Arial" w:cs="Arial"/>
          <w:color w:val="auto"/>
          <w:sz w:val="22"/>
          <w:szCs w:val="22"/>
          <w:u w:val="single"/>
          <w:lang w:val="en-AU"/>
        </w:rPr>
        <w:t>.</w:t>
      </w:r>
      <w:r w:rsidR="001F2629" w:rsidRPr="00AE7416">
        <w:rPr>
          <w:rFonts w:ascii="Arial" w:eastAsiaTheme="minorHAnsi" w:hAnsi="Arial" w:cs="Arial"/>
          <w:color w:val="auto"/>
          <w:sz w:val="22"/>
          <w:szCs w:val="22"/>
          <w:lang w:val="en-AU"/>
        </w:rPr>
        <w:t xml:space="preserve"> </w:t>
      </w:r>
      <w:r w:rsidR="009B5CF9" w:rsidRPr="009B5CF9">
        <w:rPr>
          <w:rFonts w:ascii="Arial" w:eastAsiaTheme="minorHAnsi" w:hAnsi="Arial" w:cs="Arial"/>
          <w:color w:val="auto"/>
          <w:sz w:val="22"/>
          <w:szCs w:val="22"/>
          <w:lang w:val="en-GB"/>
        </w:rPr>
        <w:t>This situation is particularly a concern in rural areas where due to factors such as lower levels of education, women are unaware of their property rights. Furthermore, the presence of traditions and cultural norms put certain heirs – i.e. women - at a disadvantage when it comes to securing the share of inheritance that is rightfully theirs under law.  This may also occur where inheritance laws are not necessarily discriminatory, but gender-neutral language gives prevalence to inheritance practices in favour of their brothers, or other male</w:t>
      </w:r>
      <w:r w:rsidR="009B5CF9" w:rsidRPr="009B5CF9">
        <w:rPr>
          <w:rFonts w:ascii="Arial" w:eastAsiaTheme="minorHAnsi" w:hAnsi="Arial" w:cs="Arial"/>
          <w:color w:val="auto"/>
          <w:sz w:val="22"/>
          <w:szCs w:val="22"/>
        </w:rPr>
        <w:t xml:space="preserve"> heirs. Moreover, in many cases women heirs voluntarily renounce their property rights in favor of a male member of the family. Absence of a record on the register, thus, can significantly undermine the surviving spouse’s rights over property she owns jointly or co-owns with her husband. </w:t>
      </w:r>
      <w:r w:rsidR="004E7687" w:rsidRPr="00830362">
        <w:rPr>
          <w:rFonts w:ascii="Arial" w:eastAsiaTheme="minorHAnsi" w:hAnsi="Arial" w:cs="Arial"/>
          <w:color w:val="auto"/>
          <w:sz w:val="22"/>
          <w:szCs w:val="22"/>
          <w:lang w:val="en-AU"/>
        </w:rPr>
        <w:t>Relying solely on communal</w:t>
      </w:r>
      <w:r w:rsidR="00B022E6" w:rsidRPr="00830362">
        <w:rPr>
          <w:rFonts w:ascii="Arial" w:eastAsiaTheme="minorHAnsi" w:hAnsi="Arial" w:cs="Arial"/>
          <w:color w:val="auto"/>
          <w:sz w:val="22"/>
          <w:szCs w:val="22"/>
          <w:lang w:val="en-AU"/>
        </w:rPr>
        <w:t xml:space="preserve"> property provisions, often found in the family or marriage law, would</w:t>
      </w:r>
      <w:r w:rsidR="004E7687" w:rsidRPr="00830362">
        <w:rPr>
          <w:rFonts w:ascii="Arial" w:eastAsiaTheme="minorHAnsi" w:hAnsi="Arial" w:cs="Arial"/>
          <w:color w:val="auto"/>
          <w:sz w:val="22"/>
          <w:szCs w:val="22"/>
          <w:lang w:val="en-AU"/>
        </w:rPr>
        <w:t xml:space="preserve"> mean </w:t>
      </w:r>
      <w:r w:rsidR="00B022E6" w:rsidRPr="00830362">
        <w:rPr>
          <w:rFonts w:ascii="Arial" w:eastAsiaTheme="minorHAnsi" w:hAnsi="Arial" w:cs="Arial"/>
          <w:color w:val="auto"/>
          <w:sz w:val="22"/>
          <w:szCs w:val="22"/>
          <w:lang w:val="en-AU"/>
        </w:rPr>
        <w:t>that she</w:t>
      </w:r>
      <w:r w:rsidR="004E7687" w:rsidRPr="00830362">
        <w:rPr>
          <w:rFonts w:ascii="Arial" w:eastAsiaTheme="minorHAnsi" w:hAnsi="Arial" w:cs="Arial"/>
          <w:color w:val="auto"/>
          <w:sz w:val="22"/>
          <w:szCs w:val="22"/>
          <w:lang w:val="en-AU"/>
        </w:rPr>
        <w:t xml:space="preserve"> would need </w:t>
      </w:r>
      <w:r w:rsidR="004E7687" w:rsidRPr="00830362">
        <w:rPr>
          <w:rFonts w:ascii="Arial" w:eastAsiaTheme="minorHAnsi" w:hAnsi="Arial" w:cs="Arial"/>
          <w:color w:val="auto"/>
          <w:sz w:val="22"/>
          <w:szCs w:val="22"/>
          <w:lang w:val="en-AU"/>
        </w:rPr>
        <w:lastRenderedPageBreak/>
        <w:t>to go to court to prove her rights vis-à-vis third parties</w:t>
      </w:r>
      <w:r w:rsidR="00B022E6" w:rsidRPr="00830362">
        <w:rPr>
          <w:rFonts w:ascii="Arial" w:eastAsiaTheme="minorHAnsi" w:hAnsi="Arial" w:cs="Arial"/>
          <w:color w:val="auto"/>
          <w:sz w:val="22"/>
          <w:szCs w:val="22"/>
          <w:lang w:val="en-AU"/>
        </w:rPr>
        <w:t>,</w:t>
      </w:r>
      <w:r w:rsidR="004E7687" w:rsidRPr="00830362">
        <w:rPr>
          <w:rFonts w:ascii="Arial" w:eastAsiaTheme="minorHAnsi" w:hAnsi="Arial" w:cs="Arial"/>
          <w:color w:val="auto"/>
          <w:sz w:val="22"/>
          <w:szCs w:val="22"/>
          <w:lang w:val="en-AU"/>
        </w:rPr>
        <w:t xml:space="preserve"> requiring resources, a degree of legal awareness/literacy and time</w:t>
      </w:r>
      <w:r w:rsidR="00B022E6" w:rsidRPr="00830362">
        <w:rPr>
          <w:rFonts w:ascii="Arial" w:eastAsiaTheme="minorHAnsi" w:hAnsi="Arial" w:cs="Arial"/>
          <w:color w:val="auto"/>
          <w:sz w:val="22"/>
          <w:szCs w:val="22"/>
          <w:lang w:val="en-AU"/>
        </w:rPr>
        <w:t xml:space="preserve">. With </w:t>
      </w:r>
      <w:r w:rsidR="00BA29BF">
        <w:rPr>
          <w:rFonts w:ascii="Arial" w:eastAsiaTheme="minorHAnsi" w:hAnsi="Arial" w:cs="Arial"/>
          <w:color w:val="auto"/>
          <w:sz w:val="22"/>
          <w:szCs w:val="22"/>
          <w:lang w:val="en-AU"/>
        </w:rPr>
        <w:t>the spouse’s</w:t>
      </w:r>
      <w:r w:rsidR="00B022E6" w:rsidRPr="00830362">
        <w:rPr>
          <w:rFonts w:ascii="Arial" w:eastAsiaTheme="minorHAnsi" w:hAnsi="Arial" w:cs="Arial"/>
          <w:color w:val="auto"/>
          <w:sz w:val="22"/>
          <w:szCs w:val="22"/>
          <w:lang w:val="en-AU"/>
        </w:rPr>
        <w:t xml:space="preserve"> name on the title or registration document, there would be no dispute.</w:t>
      </w:r>
      <w:r w:rsidR="007117D0" w:rsidRPr="00830362">
        <w:rPr>
          <w:rFonts w:ascii="Arial" w:eastAsiaTheme="minorHAnsi" w:hAnsi="Arial" w:cs="Arial"/>
          <w:color w:val="auto"/>
          <w:sz w:val="22"/>
          <w:szCs w:val="22"/>
          <w:lang w:val="en-AU"/>
        </w:rPr>
        <w:t xml:space="preserve"> </w:t>
      </w:r>
    </w:p>
    <w:p w14:paraId="2172C0F2" w14:textId="77777777" w:rsidR="00157CFF" w:rsidRPr="00157CFF" w:rsidRDefault="00157CFF" w:rsidP="00157CFF">
      <w:pPr>
        <w:pStyle w:val="ListParagraph"/>
        <w:ind w:firstLine="0"/>
        <w:rPr>
          <w:rFonts w:ascii="Arial" w:hAnsi="Arial" w:cs="Arial"/>
          <w:color w:val="000000" w:themeColor="text1"/>
          <w:sz w:val="22"/>
          <w:szCs w:val="22"/>
        </w:rPr>
      </w:pPr>
    </w:p>
    <w:p w14:paraId="4A60BA16" w14:textId="77777777" w:rsidR="008932F3" w:rsidRPr="00157CFF" w:rsidRDefault="00942F14" w:rsidP="00830362">
      <w:pPr>
        <w:pStyle w:val="ListParagraph"/>
        <w:ind w:left="0" w:firstLine="0"/>
        <w:rPr>
          <w:rFonts w:ascii="Arial" w:hAnsi="Arial" w:cs="Arial"/>
          <w:color w:val="000000" w:themeColor="text1"/>
          <w:sz w:val="22"/>
          <w:szCs w:val="22"/>
        </w:rPr>
      </w:pPr>
      <w:r>
        <w:rPr>
          <w:rFonts w:ascii="Arial" w:hAnsi="Arial" w:cs="Arial"/>
          <w:b/>
          <w:color w:val="000000" w:themeColor="text1"/>
          <w:sz w:val="22"/>
          <w:szCs w:val="22"/>
          <w:lang w:val="en-AU"/>
        </w:rPr>
        <w:t>Likewise, i</w:t>
      </w:r>
      <w:r w:rsidR="000F1A02">
        <w:rPr>
          <w:rFonts w:ascii="Arial" w:hAnsi="Arial" w:cs="Arial"/>
          <w:b/>
          <w:color w:val="000000" w:themeColor="text1"/>
          <w:sz w:val="22"/>
          <w:szCs w:val="22"/>
          <w:lang w:val="en-AU"/>
        </w:rPr>
        <w:t xml:space="preserve">n </w:t>
      </w:r>
      <w:r w:rsidR="000F1A02" w:rsidRPr="000F1A02">
        <w:rPr>
          <w:rFonts w:ascii="Arial" w:hAnsi="Arial" w:cs="Arial"/>
          <w:b/>
          <w:i/>
          <w:color w:val="000000" w:themeColor="text1"/>
          <w:sz w:val="22"/>
          <w:szCs w:val="22"/>
          <w:lang w:val="en-AU"/>
        </w:rPr>
        <w:t>community property regimes</w:t>
      </w:r>
      <w:r w:rsidR="000F1A02">
        <w:rPr>
          <w:rFonts w:ascii="Arial" w:hAnsi="Arial" w:cs="Arial"/>
          <w:b/>
          <w:color w:val="000000" w:themeColor="text1"/>
          <w:sz w:val="22"/>
          <w:szCs w:val="22"/>
          <w:lang w:val="en-AU"/>
        </w:rPr>
        <w:t xml:space="preserve"> </w:t>
      </w:r>
      <w:r w:rsidR="001F2629" w:rsidRPr="00157CFF">
        <w:rPr>
          <w:rFonts w:ascii="Arial" w:hAnsi="Arial" w:cs="Arial"/>
          <w:b/>
          <w:color w:val="000000" w:themeColor="text1"/>
          <w:sz w:val="22"/>
          <w:szCs w:val="22"/>
          <w:lang w:val="en-AU"/>
        </w:rPr>
        <w:t>joint registration</w:t>
      </w:r>
      <w:r w:rsidR="005F298F" w:rsidRPr="00157CFF">
        <w:rPr>
          <w:rFonts w:ascii="Arial" w:hAnsi="Arial" w:cs="Arial"/>
          <w:b/>
          <w:color w:val="000000" w:themeColor="text1"/>
          <w:sz w:val="22"/>
          <w:szCs w:val="22"/>
          <w:lang w:val="en-AU"/>
        </w:rPr>
        <w:t xml:space="preserve"> </w:t>
      </w:r>
      <w:r w:rsidR="001F2629" w:rsidRPr="00157CFF">
        <w:rPr>
          <w:rFonts w:ascii="Arial" w:hAnsi="Arial" w:cs="Arial"/>
          <w:b/>
          <w:color w:val="000000" w:themeColor="text1"/>
          <w:sz w:val="22"/>
          <w:szCs w:val="22"/>
          <w:lang w:val="en-AU"/>
        </w:rPr>
        <w:t xml:space="preserve">avoids </w:t>
      </w:r>
      <w:r w:rsidR="00AE4BAD" w:rsidRPr="00157CFF">
        <w:rPr>
          <w:rFonts w:ascii="Arial" w:hAnsi="Arial" w:cs="Arial"/>
          <w:b/>
          <w:color w:val="000000" w:themeColor="text1"/>
          <w:sz w:val="22"/>
          <w:szCs w:val="22"/>
          <w:lang w:val="en-AU"/>
        </w:rPr>
        <w:t xml:space="preserve">legal </w:t>
      </w:r>
      <w:r w:rsidR="00CE5508" w:rsidRPr="00157CFF">
        <w:rPr>
          <w:rFonts w:ascii="Arial" w:hAnsi="Arial" w:cs="Arial"/>
          <w:b/>
          <w:color w:val="000000" w:themeColor="text1"/>
          <w:sz w:val="22"/>
          <w:szCs w:val="22"/>
          <w:lang w:val="en-AU"/>
        </w:rPr>
        <w:t>uncertainty for both spouses</w:t>
      </w:r>
      <w:r w:rsidR="005F298F" w:rsidRPr="00157CFF">
        <w:rPr>
          <w:rFonts w:ascii="Arial" w:hAnsi="Arial" w:cs="Arial"/>
          <w:b/>
          <w:color w:val="000000" w:themeColor="text1"/>
          <w:sz w:val="22"/>
          <w:szCs w:val="22"/>
          <w:lang w:val="en-AU"/>
        </w:rPr>
        <w:t>, as well as third parties</w:t>
      </w:r>
      <w:r w:rsidR="00BA29BF">
        <w:rPr>
          <w:rFonts w:ascii="Arial" w:hAnsi="Arial" w:cs="Arial"/>
          <w:b/>
          <w:color w:val="000000" w:themeColor="text1"/>
          <w:sz w:val="22"/>
          <w:szCs w:val="22"/>
          <w:lang w:val="en-AU"/>
        </w:rPr>
        <w:t>,</w:t>
      </w:r>
      <w:r w:rsidR="000F1A02">
        <w:rPr>
          <w:rFonts w:ascii="Arial" w:hAnsi="Arial" w:cs="Arial"/>
          <w:b/>
          <w:color w:val="000000" w:themeColor="text1"/>
          <w:sz w:val="22"/>
          <w:szCs w:val="22"/>
          <w:lang w:val="en-AU"/>
        </w:rPr>
        <w:t xml:space="preserve"> </w:t>
      </w:r>
      <w:r w:rsidR="00BA29BF">
        <w:rPr>
          <w:rFonts w:ascii="Arial" w:hAnsi="Arial" w:cs="Arial"/>
          <w:b/>
          <w:color w:val="000000" w:themeColor="text1"/>
          <w:sz w:val="22"/>
          <w:szCs w:val="22"/>
          <w:lang w:val="en-AU"/>
        </w:rPr>
        <w:t xml:space="preserve">while also </w:t>
      </w:r>
      <w:r w:rsidR="000F1A02">
        <w:rPr>
          <w:rFonts w:ascii="Arial" w:hAnsi="Arial" w:cs="Arial"/>
          <w:b/>
          <w:color w:val="000000" w:themeColor="text1"/>
          <w:sz w:val="22"/>
          <w:szCs w:val="22"/>
          <w:lang w:val="en-AU"/>
        </w:rPr>
        <w:t>improv</w:t>
      </w:r>
      <w:r w:rsidR="00BA29BF">
        <w:rPr>
          <w:rFonts w:ascii="Arial" w:hAnsi="Arial" w:cs="Arial"/>
          <w:b/>
          <w:color w:val="000000" w:themeColor="text1"/>
          <w:sz w:val="22"/>
          <w:szCs w:val="22"/>
          <w:lang w:val="en-AU"/>
        </w:rPr>
        <w:t>ing</w:t>
      </w:r>
      <w:r w:rsidR="000F1A02">
        <w:rPr>
          <w:rFonts w:ascii="Arial" w:hAnsi="Arial" w:cs="Arial"/>
          <w:b/>
          <w:color w:val="000000" w:themeColor="text1"/>
          <w:sz w:val="22"/>
          <w:szCs w:val="22"/>
          <w:lang w:val="en-AU"/>
        </w:rPr>
        <w:t xml:space="preserve"> the</w:t>
      </w:r>
      <w:r w:rsidR="00BA29BF">
        <w:rPr>
          <w:rFonts w:ascii="Arial" w:hAnsi="Arial" w:cs="Arial"/>
          <w:b/>
          <w:color w:val="000000" w:themeColor="text1"/>
          <w:sz w:val="22"/>
          <w:szCs w:val="22"/>
          <w:lang w:val="en-AU"/>
        </w:rPr>
        <w:t xml:space="preserve"> overall</w:t>
      </w:r>
      <w:r w:rsidR="000F1A02">
        <w:rPr>
          <w:rFonts w:ascii="Arial" w:hAnsi="Arial" w:cs="Arial"/>
          <w:b/>
          <w:color w:val="000000" w:themeColor="text1"/>
          <w:sz w:val="22"/>
          <w:szCs w:val="22"/>
          <w:lang w:val="en-AU"/>
        </w:rPr>
        <w:t xml:space="preserve"> efficiency of the</w:t>
      </w:r>
      <w:r w:rsidR="00BA29BF">
        <w:rPr>
          <w:rFonts w:ascii="Arial" w:hAnsi="Arial" w:cs="Arial"/>
          <w:b/>
          <w:color w:val="000000" w:themeColor="text1"/>
          <w:sz w:val="22"/>
          <w:szCs w:val="22"/>
          <w:lang w:val="en-AU"/>
        </w:rPr>
        <w:t xml:space="preserve"> property</w:t>
      </w:r>
      <w:r w:rsidR="000F1A02">
        <w:rPr>
          <w:rFonts w:ascii="Arial" w:hAnsi="Arial" w:cs="Arial"/>
          <w:b/>
          <w:color w:val="000000" w:themeColor="text1"/>
          <w:sz w:val="22"/>
          <w:szCs w:val="22"/>
          <w:lang w:val="en-AU"/>
        </w:rPr>
        <w:t xml:space="preserve"> system</w:t>
      </w:r>
      <w:r w:rsidR="00CE5508" w:rsidRPr="00157CFF">
        <w:rPr>
          <w:rFonts w:ascii="Arial" w:hAnsi="Arial" w:cs="Arial"/>
          <w:b/>
          <w:color w:val="000000" w:themeColor="text1"/>
          <w:sz w:val="22"/>
          <w:szCs w:val="22"/>
          <w:lang w:val="en-AU"/>
        </w:rPr>
        <w:t xml:space="preserve">. </w:t>
      </w:r>
      <w:r w:rsidR="00CE5508" w:rsidRPr="00157CFF">
        <w:rPr>
          <w:rFonts w:ascii="Arial" w:hAnsi="Arial" w:cs="Arial"/>
          <w:color w:val="000000" w:themeColor="text1"/>
          <w:sz w:val="22"/>
          <w:szCs w:val="22"/>
          <w:lang w:val="en-AU"/>
        </w:rPr>
        <w:t>On the one hand,</w:t>
      </w:r>
      <w:r w:rsidR="00AE4BAD" w:rsidRPr="00157CFF">
        <w:rPr>
          <w:rFonts w:ascii="Arial" w:hAnsi="Arial" w:cs="Arial"/>
          <w:color w:val="000000" w:themeColor="text1"/>
          <w:sz w:val="22"/>
          <w:szCs w:val="22"/>
          <w:lang w:val="en-AU"/>
        </w:rPr>
        <w:t xml:space="preserve"> </w:t>
      </w:r>
      <w:r w:rsidR="00B022E6" w:rsidRPr="00157CFF">
        <w:rPr>
          <w:rFonts w:ascii="Arial" w:hAnsi="Arial" w:cs="Arial"/>
          <w:color w:val="000000" w:themeColor="text1"/>
          <w:sz w:val="22"/>
          <w:szCs w:val="22"/>
          <w:lang w:val="en-AU"/>
        </w:rPr>
        <w:t>a</w:t>
      </w:r>
      <w:r w:rsidR="00AE4BAD" w:rsidRPr="00157CFF">
        <w:rPr>
          <w:rFonts w:ascii="Arial" w:hAnsi="Arial" w:cs="Arial"/>
          <w:color w:val="000000" w:themeColor="text1"/>
          <w:sz w:val="22"/>
          <w:szCs w:val="22"/>
          <w:lang w:val="en-AU"/>
        </w:rPr>
        <w:t xml:space="preserve"> spouse who is </w:t>
      </w:r>
      <w:r w:rsidR="001F2629" w:rsidRPr="00157CFF">
        <w:rPr>
          <w:rFonts w:ascii="Arial" w:hAnsi="Arial" w:cs="Arial"/>
          <w:color w:val="000000" w:themeColor="text1"/>
          <w:sz w:val="22"/>
          <w:szCs w:val="22"/>
          <w:lang w:val="en-AU"/>
        </w:rPr>
        <w:t>a</w:t>
      </w:r>
      <w:r w:rsidR="00B022E6" w:rsidRPr="00157CFF">
        <w:rPr>
          <w:rFonts w:ascii="Arial" w:hAnsi="Arial" w:cs="Arial"/>
          <w:color w:val="000000" w:themeColor="text1"/>
          <w:sz w:val="22"/>
          <w:szCs w:val="22"/>
          <w:lang w:val="en-AU"/>
        </w:rPr>
        <w:t>bsent</w:t>
      </w:r>
      <w:r w:rsidR="001F2629" w:rsidRPr="00157CFF">
        <w:rPr>
          <w:rFonts w:ascii="Arial" w:hAnsi="Arial" w:cs="Arial"/>
          <w:color w:val="000000" w:themeColor="text1"/>
          <w:sz w:val="22"/>
          <w:szCs w:val="22"/>
          <w:lang w:val="en-AU"/>
        </w:rPr>
        <w:t xml:space="preserve"> from the registration process </w:t>
      </w:r>
      <w:r w:rsidR="00B022E6" w:rsidRPr="00157CFF">
        <w:rPr>
          <w:rFonts w:ascii="Arial" w:hAnsi="Arial" w:cs="Arial"/>
          <w:color w:val="000000" w:themeColor="text1"/>
          <w:sz w:val="22"/>
          <w:szCs w:val="22"/>
          <w:lang w:val="en-AU"/>
        </w:rPr>
        <w:t>and who has</w:t>
      </w:r>
      <w:r w:rsidR="00AE4BAD" w:rsidRPr="00157CFF">
        <w:rPr>
          <w:rFonts w:ascii="Arial" w:hAnsi="Arial" w:cs="Arial"/>
          <w:color w:val="000000" w:themeColor="text1"/>
          <w:sz w:val="22"/>
          <w:szCs w:val="22"/>
          <w:lang w:val="en-AU"/>
        </w:rPr>
        <w:t xml:space="preserve"> rights over a property under the law</w:t>
      </w:r>
      <w:r w:rsidR="00B022E6" w:rsidRPr="00157CFF">
        <w:rPr>
          <w:rFonts w:ascii="Arial" w:hAnsi="Arial" w:cs="Arial"/>
          <w:color w:val="000000" w:themeColor="text1"/>
          <w:sz w:val="22"/>
          <w:szCs w:val="22"/>
          <w:lang w:val="en-AU"/>
        </w:rPr>
        <w:t xml:space="preserve"> (i.e. family law) sees </w:t>
      </w:r>
      <w:r w:rsidR="001F2629" w:rsidRPr="00157CFF">
        <w:rPr>
          <w:rFonts w:ascii="Arial" w:hAnsi="Arial" w:cs="Arial"/>
          <w:color w:val="000000" w:themeColor="text1"/>
          <w:sz w:val="22"/>
          <w:szCs w:val="22"/>
          <w:lang w:val="en-AU"/>
        </w:rPr>
        <w:t xml:space="preserve">such rights </w:t>
      </w:r>
      <w:r w:rsidR="00AE4BAD" w:rsidRPr="00157CFF">
        <w:rPr>
          <w:rFonts w:ascii="Arial" w:hAnsi="Arial" w:cs="Arial"/>
          <w:color w:val="000000" w:themeColor="text1"/>
          <w:sz w:val="22"/>
          <w:szCs w:val="22"/>
          <w:lang w:val="en-AU"/>
        </w:rPr>
        <w:t>reflected and</w:t>
      </w:r>
      <w:r w:rsidR="00CE5508" w:rsidRPr="00157CFF">
        <w:rPr>
          <w:rFonts w:ascii="Arial" w:hAnsi="Arial" w:cs="Arial"/>
          <w:color w:val="000000" w:themeColor="text1"/>
          <w:sz w:val="22"/>
          <w:szCs w:val="22"/>
          <w:lang w:val="en-AU"/>
        </w:rPr>
        <w:t xml:space="preserve"> confirmed through registration</w:t>
      </w:r>
      <w:r w:rsidR="001F2629" w:rsidRPr="00157CFF">
        <w:rPr>
          <w:rFonts w:ascii="Arial" w:hAnsi="Arial" w:cs="Arial"/>
          <w:color w:val="000000" w:themeColor="text1"/>
          <w:sz w:val="22"/>
          <w:szCs w:val="22"/>
          <w:lang w:val="en-AU"/>
        </w:rPr>
        <w:t>, whether or not he</w:t>
      </w:r>
      <w:r w:rsidR="00B022E6" w:rsidRPr="00157CFF">
        <w:rPr>
          <w:rFonts w:ascii="Arial" w:hAnsi="Arial" w:cs="Arial"/>
          <w:color w:val="000000" w:themeColor="text1"/>
          <w:sz w:val="22"/>
          <w:szCs w:val="22"/>
          <w:lang w:val="en-AU"/>
        </w:rPr>
        <w:t xml:space="preserve"> or </w:t>
      </w:r>
      <w:r w:rsidR="001F2629" w:rsidRPr="00157CFF">
        <w:rPr>
          <w:rFonts w:ascii="Arial" w:hAnsi="Arial" w:cs="Arial"/>
          <w:color w:val="000000" w:themeColor="text1"/>
          <w:sz w:val="22"/>
          <w:szCs w:val="22"/>
          <w:lang w:val="en-AU"/>
        </w:rPr>
        <w:t>she is present</w:t>
      </w:r>
      <w:r w:rsidR="00CE5508" w:rsidRPr="00157CFF">
        <w:rPr>
          <w:rFonts w:ascii="Arial" w:hAnsi="Arial" w:cs="Arial"/>
          <w:color w:val="000000" w:themeColor="text1"/>
          <w:sz w:val="22"/>
          <w:szCs w:val="22"/>
          <w:lang w:val="en-AU"/>
        </w:rPr>
        <w:t>.</w:t>
      </w:r>
      <w:r w:rsidR="00187539" w:rsidRPr="00991EBD">
        <w:rPr>
          <w:rStyle w:val="FootnoteReference"/>
          <w:rFonts w:ascii="Arial" w:hAnsi="Arial" w:cs="Arial"/>
          <w:color w:val="000000" w:themeColor="text1"/>
          <w:sz w:val="22"/>
          <w:szCs w:val="22"/>
          <w:lang w:val="en-AU"/>
        </w:rPr>
        <w:footnoteReference w:id="4"/>
      </w:r>
      <w:r w:rsidR="00CE5508" w:rsidRPr="00157CFF">
        <w:rPr>
          <w:rFonts w:ascii="Arial" w:hAnsi="Arial" w:cs="Arial"/>
          <w:color w:val="000000" w:themeColor="text1"/>
          <w:sz w:val="22"/>
          <w:szCs w:val="22"/>
          <w:lang w:val="en-AU"/>
        </w:rPr>
        <w:t xml:space="preserve"> On the other hand,</w:t>
      </w:r>
      <w:r w:rsidR="00AE4BAD" w:rsidRPr="00157CFF">
        <w:rPr>
          <w:rFonts w:ascii="Arial" w:hAnsi="Arial" w:cs="Arial"/>
          <w:color w:val="000000" w:themeColor="text1"/>
          <w:sz w:val="22"/>
          <w:szCs w:val="22"/>
          <w:lang w:val="en-AU"/>
        </w:rPr>
        <w:t xml:space="preserve"> the spouse </w:t>
      </w:r>
      <w:r w:rsidR="00B022E6" w:rsidRPr="00157CFF">
        <w:rPr>
          <w:rFonts w:ascii="Arial" w:hAnsi="Arial" w:cs="Arial"/>
          <w:color w:val="000000" w:themeColor="text1"/>
          <w:sz w:val="22"/>
          <w:szCs w:val="22"/>
          <w:lang w:val="en-AU"/>
        </w:rPr>
        <w:t>registering the property</w:t>
      </w:r>
      <w:r w:rsidR="00AE4BAD" w:rsidRPr="00157CFF">
        <w:rPr>
          <w:rFonts w:ascii="Arial" w:hAnsi="Arial" w:cs="Arial"/>
          <w:color w:val="000000" w:themeColor="text1"/>
          <w:sz w:val="22"/>
          <w:szCs w:val="22"/>
          <w:highlight w:val="none"/>
          <w:lang w:val="en-AU"/>
        </w:rPr>
        <w:t xml:space="preserve"> </w:t>
      </w:r>
      <w:r w:rsidR="001F2629" w:rsidRPr="00157CFF">
        <w:rPr>
          <w:rFonts w:ascii="Arial" w:hAnsi="Arial" w:cs="Arial"/>
          <w:color w:val="000000" w:themeColor="text1"/>
          <w:sz w:val="22"/>
          <w:szCs w:val="22"/>
          <w:highlight w:val="none"/>
          <w:lang w:val="en-AU"/>
        </w:rPr>
        <w:t>clearly</w:t>
      </w:r>
      <w:r w:rsidR="00AE4BAD" w:rsidRPr="00157CFF">
        <w:rPr>
          <w:rFonts w:ascii="Arial" w:hAnsi="Arial" w:cs="Arial"/>
          <w:color w:val="000000" w:themeColor="text1"/>
          <w:sz w:val="22"/>
          <w:szCs w:val="22"/>
          <w:highlight w:val="none"/>
          <w:lang w:val="en-AU"/>
        </w:rPr>
        <w:t xml:space="preserve"> </w:t>
      </w:r>
      <w:r w:rsidR="001F2629" w:rsidRPr="00157CFF">
        <w:rPr>
          <w:rFonts w:ascii="Arial" w:hAnsi="Arial" w:cs="Arial"/>
          <w:color w:val="000000" w:themeColor="text1"/>
          <w:sz w:val="22"/>
          <w:szCs w:val="22"/>
          <w:highlight w:val="none"/>
          <w:lang w:val="en-AU"/>
        </w:rPr>
        <w:t xml:space="preserve">understands that </w:t>
      </w:r>
      <w:r w:rsidR="00AE4BAD" w:rsidRPr="00157CFF">
        <w:rPr>
          <w:rFonts w:ascii="Arial" w:hAnsi="Arial" w:cs="Arial"/>
          <w:color w:val="000000" w:themeColor="text1"/>
          <w:sz w:val="22"/>
          <w:szCs w:val="22"/>
          <w:highlight w:val="none"/>
          <w:lang w:val="en-AU"/>
        </w:rPr>
        <w:t>his</w:t>
      </w:r>
      <w:r w:rsidR="00B022E6" w:rsidRPr="00157CFF">
        <w:rPr>
          <w:rFonts w:ascii="Arial" w:hAnsi="Arial" w:cs="Arial"/>
          <w:color w:val="000000" w:themeColor="text1"/>
          <w:sz w:val="22"/>
          <w:szCs w:val="22"/>
          <w:highlight w:val="none"/>
          <w:lang w:val="en-AU"/>
        </w:rPr>
        <w:t xml:space="preserve"> or </w:t>
      </w:r>
      <w:r w:rsidR="00AE4BAD" w:rsidRPr="00157CFF">
        <w:rPr>
          <w:rFonts w:ascii="Arial" w:hAnsi="Arial" w:cs="Arial"/>
          <w:color w:val="000000" w:themeColor="text1"/>
          <w:sz w:val="22"/>
          <w:szCs w:val="22"/>
          <w:highlight w:val="none"/>
          <w:lang w:val="en-AU"/>
        </w:rPr>
        <w:t>her ownership right over the property is in fact shared with his</w:t>
      </w:r>
      <w:r w:rsidR="00B022E6" w:rsidRPr="00157CFF">
        <w:rPr>
          <w:rFonts w:ascii="Arial" w:hAnsi="Arial" w:cs="Arial"/>
          <w:color w:val="000000" w:themeColor="text1"/>
          <w:sz w:val="22"/>
          <w:szCs w:val="22"/>
          <w:highlight w:val="none"/>
          <w:lang w:val="en-AU"/>
        </w:rPr>
        <w:t xml:space="preserve"> or</w:t>
      </w:r>
      <w:r w:rsidR="00AE4BAD" w:rsidRPr="00157CFF">
        <w:rPr>
          <w:rFonts w:ascii="Arial" w:hAnsi="Arial" w:cs="Arial"/>
          <w:color w:val="000000" w:themeColor="text1"/>
          <w:sz w:val="22"/>
          <w:szCs w:val="22"/>
          <w:highlight w:val="none"/>
          <w:lang w:val="en-AU"/>
        </w:rPr>
        <w:t xml:space="preserve"> her spouse.</w:t>
      </w:r>
      <w:r w:rsidR="00CE5508" w:rsidRPr="00991EBD">
        <w:rPr>
          <w:rStyle w:val="FootnoteReference"/>
          <w:rFonts w:ascii="Arial" w:hAnsi="Arial" w:cs="Arial"/>
          <w:color w:val="000000" w:themeColor="text1"/>
          <w:sz w:val="22"/>
          <w:szCs w:val="22"/>
          <w:highlight w:val="none"/>
          <w:lang w:val="en-AU"/>
        </w:rPr>
        <w:footnoteReference w:id="5"/>
      </w:r>
      <w:r w:rsidR="004773D1" w:rsidRPr="00157CFF">
        <w:rPr>
          <w:rFonts w:ascii="Arial" w:hAnsi="Arial" w:cs="Arial"/>
          <w:color w:val="000000" w:themeColor="text1"/>
          <w:sz w:val="22"/>
          <w:szCs w:val="22"/>
          <w:highlight w:val="none"/>
          <w:lang w:val="en-AU"/>
        </w:rPr>
        <w:t xml:space="preserve"> </w:t>
      </w:r>
      <w:r w:rsidR="004E7687" w:rsidRPr="00157CFF">
        <w:rPr>
          <w:rFonts w:ascii="Arial" w:hAnsi="Arial" w:cs="Arial"/>
          <w:color w:val="000000" w:themeColor="text1"/>
          <w:sz w:val="22"/>
          <w:szCs w:val="22"/>
          <w:highlight w:val="none"/>
          <w:lang w:val="en-AU"/>
        </w:rPr>
        <w:t xml:space="preserve">Finally, </w:t>
      </w:r>
      <w:r w:rsidR="00157CFF" w:rsidRPr="00157CFF">
        <w:rPr>
          <w:rFonts w:ascii="Arial" w:hAnsi="Arial" w:cs="Arial"/>
          <w:color w:val="000000" w:themeColor="text1"/>
          <w:sz w:val="22"/>
          <w:szCs w:val="22"/>
          <w:highlight w:val="none"/>
          <w:lang w:val="en-AU"/>
        </w:rPr>
        <w:t xml:space="preserve">third parties have </w:t>
      </w:r>
      <w:r w:rsidR="00BA29BF">
        <w:rPr>
          <w:rFonts w:ascii="Arial" w:hAnsi="Arial" w:cs="Arial"/>
          <w:color w:val="000000" w:themeColor="text1"/>
          <w:sz w:val="22"/>
          <w:szCs w:val="22"/>
          <w:highlight w:val="none"/>
          <w:lang w:val="en-AU"/>
        </w:rPr>
        <w:t>indisputable</w:t>
      </w:r>
      <w:r w:rsidR="00BA29BF" w:rsidRPr="00157CFF">
        <w:rPr>
          <w:rFonts w:ascii="Arial" w:hAnsi="Arial" w:cs="Arial"/>
          <w:color w:val="000000" w:themeColor="text1"/>
          <w:sz w:val="22"/>
          <w:szCs w:val="22"/>
          <w:highlight w:val="none"/>
          <w:lang w:val="en-AU"/>
        </w:rPr>
        <w:t xml:space="preserve"> </w:t>
      </w:r>
      <w:r w:rsidR="00157CFF" w:rsidRPr="00157CFF">
        <w:rPr>
          <w:rFonts w:ascii="Arial" w:hAnsi="Arial" w:cs="Arial"/>
          <w:color w:val="000000" w:themeColor="text1"/>
          <w:sz w:val="22"/>
          <w:szCs w:val="22"/>
          <w:highlight w:val="none"/>
          <w:lang w:val="en-AU"/>
        </w:rPr>
        <w:t>evidence</w:t>
      </w:r>
      <w:r w:rsidR="005F298F" w:rsidRPr="00157CFF">
        <w:rPr>
          <w:rFonts w:ascii="Arial" w:hAnsi="Arial" w:cs="Arial"/>
          <w:color w:val="000000" w:themeColor="text1"/>
          <w:sz w:val="22"/>
          <w:szCs w:val="22"/>
          <w:highlight w:val="none"/>
          <w:lang w:val="en-AU"/>
        </w:rPr>
        <w:t xml:space="preserve"> </w:t>
      </w:r>
      <w:r w:rsidR="00157CFF" w:rsidRPr="00157CFF">
        <w:rPr>
          <w:rFonts w:ascii="Arial" w:hAnsi="Arial" w:cs="Arial"/>
          <w:color w:val="000000" w:themeColor="text1"/>
          <w:sz w:val="22"/>
          <w:szCs w:val="22"/>
          <w:highlight w:val="none"/>
          <w:lang w:val="en-AU"/>
        </w:rPr>
        <w:t xml:space="preserve">that the </w:t>
      </w:r>
      <w:r w:rsidR="005626EB" w:rsidRPr="00157CFF">
        <w:rPr>
          <w:rFonts w:ascii="Arial" w:hAnsi="Arial" w:cs="Arial"/>
          <w:color w:val="000000" w:themeColor="text1"/>
          <w:sz w:val="22"/>
          <w:szCs w:val="22"/>
          <w:highlight w:val="none"/>
          <w:lang w:val="en-AU"/>
        </w:rPr>
        <w:t xml:space="preserve">property is </w:t>
      </w:r>
      <w:r w:rsidR="005626EB" w:rsidRPr="00157CFF">
        <w:rPr>
          <w:rFonts w:ascii="Arial" w:hAnsi="Arial" w:cs="Arial"/>
          <w:color w:val="000000" w:themeColor="text1"/>
          <w:sz w:val="22"/>
          <w:szCs w:val="22"/>
          <w:lang w:val="en-AU"/>
        </w:rPr>
        <w:t>jointly owned</w:t>
      </w:r>
      <w:r w:rsidR="00D50DFD" w:rsidRPr="00157CFF">
        <w:rPr>
          <w:rFonts w:ascii="Arial" w:hAnsi="Arial" w:cs="Arial"/>
          <w:color w:val="000000" w:themeColor="text1"/>
          <w:sz w:val="22"/>
          <w:szCs w:val="22"/>
          <w:lang w:val="en-AU"/>
        </w:rPr>
        <w:t xml:space="preserve">. </w:t>
      </w:r>
      <w:r w:rsidR="00157CFF" w:rsidRPr="00157CFF">
        <w:rPr>
          <w:rFonts w:ascii="Arial" w:hAnsi="Arial" w:cs="Arial"/>
          <w:color w:val="000000" w:themeColor="text1"/>
          <w:sz w:val="22"/>
          <w:szCs w:val="22"/>
          <w:lang w:val="en-AU"/>
        </w:rPr>
        <w:t>This avoids the inefficiencies that exist in some countries</w:t>
      </w:r>
      <w:r w:rsidR="00D50DFD" w:rsidRPr="00157CFF">
        <w:rPr>
          <w:rFonts w:ascii="Arial" w:hAnsi="Arial" w:cs="Arial"/>
          <w:color w:val="000000" w:themeColor="text1"/>
          <w:sz w:val="22"/>
          <w:szCs w:val="22"/>
          <w:lang w:val="en-AU"/>
        </w:rPr>
        <w:t>,</w:t>
      </w:r>
      <w:r w:rsidR="00157CFF" w:rsidRPr="00157CFF">
        <w:rPr>
          <w:rFonts w:ascii="Arial" w:hAnsi="Arial" w:cs="Arial"/>
          <w:color w:val="000000" w:themeColor="text1"/>
          <w:sz w:val="22"/>
          <w:szCs w:val="22"/>
          <w:lang w:val="en-AU"/>
        </w:rPr>
        <w:t xml:space="preserve"> where</w:t>
      </w:r>
      <w:r w:rsidR="00D50DFD" w:rsidRPr="00157CFF">
        <w:rPr>
          <w:rFonts w:ascii="Arial" w:hAnsi="Arial" w:cs="Arial"/>
          <w:color w:val="000000" w:themeColor="text1"/>
          <w:sz w:val="22"/>
          <w:szCs w:val="22"/>
          <w:lang w:val="en-AU"/>
        </w:rPr>
        <w:t xml:space="preserve"> third parties </w:t>
      </w:r>
      <w:r w:rsidR="00157CFF" w:rsidRPr="00157CFF">
        <w:rPr>
          <w:rFonts w:ascii="Arial" w:hAnsi="Arial" w:cs="Arial"/>
          <w:color w:val="000000" w:themeColor="text1"/>
          <w:sz w:val="22"/>
          <w:szCs w:val="22"/>
          <w:lang w:val="en-AU"/>
        </w:rPr>
        <w:t xml:space="preserve">are </w:t>
      </w:r>
      <w:r w:rsidR="00D50DFD" w:rsidRPr="00157CFF">
        <w:rPr>
          <w:rFonts w:ascii="Arial" w:hAnsi="Arial" w:cs="Arial"/>
          <w:color w:val="000000" w:themeColor="text1"/>
          <w:sz w:val="22"/>
          <w:szCs w:val="22"/>
          <w:lang w:val="en-AU"/>
        </w:rPr>
        <w:t xml:space="preserve">obliged to access and consult other documents/registers to </w:t>
      </w:r>
      <w:r w:rsidR="00BA29BF">
        <w:rPr>
          <w:rFonts w:ascii="Arial" w:hAnsi="Arial" w:cs="Arial"/>
          <w:color w:val="000000" w:themeColor="text1"/>
          <w:sz w:val="22"/>
          <w:szCs w:val="22"/>
          <w:lang w:val="en-AU"/>
        </w:rPr>
        <w:t>discover the</w:t>
      </w:r>
      <w:r w:rsidR="00D50DFD" w:rsidRPr="00157CFF">
        <w:rPr>
          <w:rFonts w:ascii="Arial" w:hAnsi="Arial" w:cs="Arial"/>
          <w:color w:val="000000" w:themeColor="text1"/>
          <w:sz w:val="22"/>
          <w:szCs w:val="22"/>
          <w:lang w:val="en-AU"/>
        </w:rPr>
        <w:t xml:space="preserve"> applicable matrimonial property regime. </w:t>
      </w:r>
      <w:r w:rsidR="00157CFF" w:rsidRPr="00157CFF">
        <w:rPr>
          <w:rFonts w:ascii="Arial" w:hAnsi="Arial" w:cs="Arial"/>
          <w:color w:val="000000" w:themeColor="text1"/>
          <w:sz w:val="22"/>
          <w:szCs w:val="22"/>
          <w:lang w:val="en-AU"/>
        </w:rPr>
        <w:t xml:space="preserve">In short, compulsory or encouraged joint registration in community property regimes ensures that </w:t>
      </w:r>
      <w:r w:rsidR="00157CFF" w:rsidRPr="00915800">
        <w:rPr>
          <w:rFonts w:ascii="Arial" w:hAnsi="Arial" w:cs="Arial"/>
          <w:color w:val="000000" w:themeColor="text1"/>
          <w:sz w:val="22"/>
          <w:szCs w:val="22"/>
          <w:u w:val="single"/>
          <w:lang w:val="en-AU"/>
        </w:rPr>
        <w:t>the register reflects very clearly women’s rights to the property</w:t>
      </w:r>
      <w:r w:rsidR="00157CFF" w:rsidRPr="00157CFF">
        <w:rPr>
          <w:rFonts w:ascii="Arial" w:hAnsi="Arial" w:cs="Arial"/>
          <w:color w:val="000000" w:themeColor="text1"/>
          <w:sz w:val="22"/>
          <w:szCs w:val="22"/>
          <w:lang w:val="en-AU"/>
        </w:rPr>
        <w:t xml:space="preserve">. </w:t>
      </w:r>
    </w:p>
    <w:p w14:paraId="7BCFC457" w14:textId="77777777" w:rsidR="00157CFF" w:rsidRPr="00157CFF" w:rsidRDefault="00157CFF" w:rsidP="00157CFF">
      <w:pPr>
        <w:pStyle w:val="ListParagraph"/>
        <w:ind w:firstLine="0"/>
        <w:rPr>
          <w:rFonts w:ascii="Arial" w:hAnsi="Arial" w:cs="Arial"/>
          <w:color w:val="000000" w:themeColor="text1"/>
          <w:sz w:val="22"/>
          <w:szCs w:val="22"/>
        </w:rPr>
      </w:pPr>
    </w:p>
    <w:p w14:paraId="6CAC4273" w14:textId="77777777" w:rsidR="00966F3D" w:rsidRPr="002F65C9" w:rsidRDefault="000F1A02" w:rsidP="00830362">
      <w:pPr>
        <w:pStyle w:val="ListParagraph"/>
        <w:ind w:left="0" w:firstLine="0"/>
        <w:rPr>
          <w:rFonts w:ascii="Arial" w:hAnsi="Arial" w:cs="Arial"/>
          <w:color w:val="000000" w:themeColor="text1"/>
          <w:sz w:val="22"/>
          <w:szCs w:val="22"/>
          <w:lang w:val="en-AU"/>
        </w:rPr>
      </w:pPr>
      <w:r w:rsidRPr="006F7312">
        <w:rPr>
          <w:rFonts w:ascii="Arial" w:hAnsi="Arial" w:cs="Arial"/>
          <w:b/>
          <w:color w:val="000000" w:themeColor="text1"/>
          <w:sz w:val="22"/>
          <w:szCs w:val="22"/>
          <w:lang w:val="en-AU"/>
        </w:rPr>
        <w:t xml:space="preserve">In default </w:t>
      </w:r>
      <w:r w:rsidRPr="006F7312">
        <w:rPr>
          <w:rFonts w:ascii="Arial" w:hAnsi="Arial" w:cs="Arial"/>
          <w:b/>
          <w:i/>
          <w:color w:val="000000" w:themeColor="text1"/>
          <w:sz w:val="22"/>
          <w:szCs w:val="22"/>
          <w:lang w:val="en-AU"/>
        </w:rPr>
        <w:t xml:space="preserve">separation of property </w:t>
      </w:r>
      <w:r w:rsidRPr="006F7312">
        <w:rPr>
          <w:rFonts w:ascii="Arial" w:hAnsi="Arial" w:cs="Arial"/>
          <w:b/>
          <w:color w:val="000000" w:themeColor="text1"/>
          <w:sz w:val="22"/>
          <w:szCs w:val="22"/>
          <w:lang w:val="en-AU"/>
        </w:rPr>
        <w:t>regimes</w:t>
      </w:r>
      <w:r w:rsidR="006F7312" w:rsidRPr="006F7312">
        <w:rPr>
          <w:rFonts w:ascii="Arial" w:hAnsi="Arial" w:cs="Arial"/>
          <w:b/>
          <w:color w:val="000000" w:themeColor="text1"/>
          <w:sz w:val="22"/>
          <w:szCs w:val="22"/>
          <w:lang w:val="en-AU"/>
        </w:rPr>
        <w:t>, such as the UK</w:t>
      </w:r>
      <w:r w:rsidR="003750B7">
        <w:rPr>
          <w:rFonts w:ascii="Arial" w:hAnsi="Arial" w:cs="Arial"/>
          <w:b/>
          <w:color w:val="000000" w:themeColor="text1"/>
          <w:sz w:val="22"/>
          <w:szCs w:val="22"/>
          <w:lang w:val="en-AU"/>
        </w:rPr>
        <w:t xml:space="preserve"> and Australia</w:t>
      </w:r>
      <w:r w:rsidR="006F7312" w:rsidRPr="006F7312">
        <w:rPr>
          <w:rFonts w:ascii="Arial" w:hAnsi="Arial" w:cs="Arial"/>
          <w:b/>
          <w:color w:val="000000" w:themeColor="text1"/>
          <w:sz w:val="22"/>
          <w:szCs w:val="22"/>
          <w:lang w:val="en-AU"/>
        </w:rPr>
        <w:t>,</w:t>
      </w:r>
      <w:r w:rsidRPr="006F7312">
        <w:rPr>
          <w:rFonts w:ascii="Arial" w:hAnsi="Arial" w:cs="Arial"/>
          <w:b/>
          <w:color w:val="000000" w:themeColor="text1"/>
          <w:sz w:val="22"/>
          <w:szCs w:val="22"/>
          <w:lang w:val="en-AU"/>
        </w:rPr>
        <w:t xml:space="preserve"> </w:t>
      </w:r>
      <w:r w:rsidR="00760174">
        <w:rPr>
          <w:rFonts w:ascii="Arial" w:hAnsi="Arial" w:cs="Arial"/>
          <w:b/>
          <w:color w:val="000000" w:themeColor="text1"/>
          <w:sz w:val="22"/>
          <w:szCs w:val="22"/>
          <w:lang w:val="en-AU"/>
        </w:rPr>
        <w:t xml:space="preserve">compulsory </w:t>
      </w:r>
      <w:r w:rsidRPr="006F7312">
        <w:rPr>
          <w:rFonts w:ascii="Arial" w:hAnsi="Arial" w:cs="Arial"/>
          <w:b/>
          <w:color w:val="000000" w:themeColor="text1"/>
          <w:sz w:val="22"/>
          <w:szCs w:val="22"/>
          <w:lang w:val="en-AU"/>
        </w:rPr>
        <w:t>joint registration</w:t>
      </w:r>
      <w:r w:rsidR="00760174">
        <w:rPr>
          <w:rFonts w:ascii="Arial" w:hAnsi="Arial" w:cs="Arial"/>
          <w:b/>
          <w:color w:val="000000" w:themeColor="text1"/>
          <w:sz w:val="22"/>
          <w:szCs w:val="22"/>
          <w:lang w:val="en-AU"/>
        </w:rPr>
        <w:t xml:space="preserve"> of specific rights </w:t>
      </w:r>
      <w:r w:rsidR="006F7312" w:rsidRPr="006F7312">
        <w:rPr>
          <w:rFonts w:ascii="Arial" w:hAnsi="Arial" w:cs="Arial"/>
          <w:b/>
          <w:color w:val="000000" w:themeColor="text1"/>
          <w:sz w:val="22"/>
          <w:szCs w:val="22"/>
          <w:lang w:val="en-AU"/>
        </w:rPr>
        <w:t>c</w:t>
      </w:r>
      <w:r w:rsidR="00760174">
        <w:rPr>
          <w:rFonts w:ascii="Arial" w:hAnsi="Arial" w:cs="Arial"/>
          <w:b/>
          <w:color w:val="000000" w:themeColor="text1"/>
          <w:sz w:val="22"/>
          <w:szCs w:val="22"/>
          <w:lang w:val="en-AU"/>
        </w:rPr>
        <w:t>ould</w:t>
      </w:r>
      <w:r w:rsidR="006F7312" w:rsidRPr="006F7312">
        <w:rPr>
          <w:rFonts w:ascii="Arial" w:hAnsi="Arial" w:cs="Arial"/>
          <w:b/>
          <w:color w:val="000000" w:themeColor="text1"/>
          <w:sz w:val="22"/>
          <w:szCs w:val="22"/>
          <w:lang w:val="en-AU"/>
        </w:rPr>
        <w:t xml:space="preserve"> protect </w:t>
      </w:r>
      <w:r w:rsidR="00715E65">
        <w:rPr>
          <w:rFonts w:ascii="Arial" w:hAnsi="Arial" w:cs="Arial"/>
          <w:b/>
          <w:color w:val="000000" w:themeColor="text1"/>
          <w:sz w:val="22"/>
          <w:szCs w:val="22"/>
          <w:lang w:val="en-AU"/>
        </w:rPr>
        <w:t>married women</w:t>
      </w:r>
      <w:r w:rsidR="006F7312" w:rsidRPr="006F7312">
        <w:rPr>
          <w:rFonts w:ascii="Arial" w:hAnsi="Arial" w:cs="Arial"/>
          <w:b/>
          <w:color w:val="000000" w:themeColor="text1"/>
          <w:sz w:val="22"/>
          <w:szCs w:val="22"/>
          <w:lang w:val="en-AU"/>
        </w:rPr>
        <w:t xml:space="preserve"> from arbitrary actions by </w:t>
      </w:r>
      <w:r w:rsidR="00715E65">
        <w:rPr>
          <w:rFonts w:ascii="Arial" w:hAnsi="Arial" w:cs="Arial"/>
          <w:b/>
          <w:color w:val="000000" w:themeColor="text1"/>
          <w:sz w:val="22"/>
          <w:szCs w:val="22"/>
          <w:lang w:val="en-AU"/>
        </w:rPr>
        <w:t xml:space="preserve">their </w:t>
      </w:r>
      <w:r w:rsidR="006F7312" w:rsidRPr="006F7312">
        <w:rPr>
          <w:rFonts w:ascii="Arial" w:hAnsi="Arial" w:cs="Arial"/>
          <w:b/>
          <w:color w:val="000000" w:themeColor="text1"/>
          <w:sz w:val="22"/>
          <w:szCs w:val="22"/>
          <w:lang w:val="en-AU"/>
        </w:rPr>
        <w:t>spouses</w:t>
      </w:r>
      <w:r w:rsidR="002F65C9">
        <w:rPr>
          <w:rFonts w:ascii="Arial" w:hAnsi="Arial" w:cs="Arial"/>
          <w:b/>
          <w:color w:val="000000" w:themeColor="text1"/>
          <w:sz w:val="22"/>
          <w:szCs w:val="22"/>
          <w:lang w:val="en-AU"/>
        </w:rPr>
        <w:t xml:space="preserve"> and reduce the prospects of women facing poverty upon marriage breakdown</w:t>
      </w:r>
      <w:r w:rsidR="006F7312" w:rsidRPr="006F7312">
        <w:rPr>
          <w:rFonts w:ascii="Arial" w:hAnsi="Arial" w:cs="Arial"/>
          <w:b/>
          <w:color w:val="000000" w:themeColor="text1"/>
          <w:sz w:val="22"/>
          <w:szCs w:val="22"/>
          <w:lang w:val="en-AU"/>
        </w:rPr>
        <w:t xml:space="preserve">. </w:t>
      </w:r>
      <w:r w:rsidR="006F7312" w:rsidRPr="006F7312">
        <w:rPr>
          <w:rFonts w:ascii="Arial" w:hAnsi="Arial" w:cs="Arial"/>
          <w:color w:val="000000" w:themeColor="text1"/>
          <w:sz w:val="22"/>
          <w:szCs w:val="22"/>
          <w:lang w:val="en-AU"/>
        </w:rPr>
        <w:t>For example, in the UK</w:t>
      </w:r>
      <w:r w:rsidR="002F65C9">
        <w:rPr>
          <w:rFonts w:ascii="Arial" w:hAnsi="Arial" w:cs="Arial"/>
          <w:color w:val="000000" w:themeColor="text1"/>
          <w:sz w:val="22"/>
          <w:szCs w:val="22"/>
          <w:lang w:val="en-AU"/>
        </w:rPr>
        <w:t>, where</w:t>
      </w:r>
      <w:r w:rsidR="00760174">
        <w:rPr>
          <w:rFonts w:ascii="Arial" w:hAnsi="Arial" w:cs="Arial"/>
          <w:color w:val="000000" w:themeColor="text1"/>
          <w:sz w:val="22"/>
          <w:szCs w:val="22"/>
          <w:lang w:val="en-AU"/>
        </w:rPr>
        <w:t xml:space="preserve"> there is no automatic joint property upon marriage and therefore</w:t>
      </w:r>
      <w:r w:rsidR="002F65C9">
        <w:rPr>
          <w:rFonts w:ascii="Arial" w:hAnsi="Arial" w:cs="Arial"/>
          <w:color w:val="000000" w:themeColor="text1"/>
          <w:sz w:val="22"/>
          <w:szCs w:val="22"/>
          <w:lang w:val="en-AU"/>
        </w:rPr>
        <w:t xml:space="preserve"> joint registration is </w:t>
      </w:r>
      <w:r w:rsidR="002F65C9" w:rsidRPr="002F65C9">
        <w:rPr>
          <w:rFonts w:ascii="Arial" w:hAnsi="Arial" w:cs="Arial"/>
          <w:color w:val="000000" w:themeColor="text1"/>
          <w:sz w:val="22"/>
          <w:szCs w:val="22"/>
          <w:u w:val="single"/>
          <w:lang w:val="en-AU"/>
        </w:rPr>
        <w:t>not</w:t>
      </w:r>
      <w:r w:rsidR="002F65C9">
        <w:rPr>
          <w:rFonts w:ascii="Arial" w:hAnsi="Arial" w:cs="Arial"/>
          <w:color w:val="000000" w:themeColor="text1"/>
          <w:sz w:val="22"/>
          <w:szCs w:val="22"/>
          <w:lang w:val="en-AU"/>
        </w:rPr>
        <w:t xml:space="preserve"> compulsory,</w:t>
      </w:r>
      <w:r w:rsidR="006F7312" w:rsidRPr="006F7312">
        <w:rPr>
          <w:rFonts w:ascii="Arial" w:hAnsi="Arial" w:cs="Arial"/>
          <w:color w:val="000000" w:themeColor="text1"/>
          <w:sz w:val="22"/>
          <w:szCs w:val="22"/>
          <w:lang w:val="en-AU"/>
        </w:rPr>
        <w:t xml:space="preserve"> the law states </w:t>
      </w:r>
      <w:r w:rsidR="006F7312" w:rsidRPr="006F7312">
        <w:rPr>
          <w:rFonts w:ascii="Arial" w:hAnsi="Arial" w:cs="Arial"/>
          <w:color w:val="333333"/>
          <w:sz w:val="22"/>
          <w:szCs w:val="22"/>
        </w:rPr>
        <w:t>that if one spouse owns the family home and the other spouse does not, the spouse who does not own the family home has home rights.</w:t>
      </w:r>
      <w:r w:rsidR="006F7312">
        <w:rPr>
          <w:rStyle w:val="FootnoteReference"/>
          <w:rFonts w:ascii="Arial" w:hAnsi="Arial" w:cs="Arial"/>
          <w:color w:val="333333"/>
          <w:sz w:val="22"/>
          <w:szCs w:val="22"/>
        </w:rPr>
        <w:footnoteReference w:id="6"/>
      </w:r>
      <w:r w:rsidR="006F7312" w:rsidRPr="006F7312">
        <w:rPr>
          <w:rFonts w:ascii="Arial" w:hAnsi="Arial" w:cs="Arial"/>
          <w:color w:val="333333"/>
          <w:sz w:val="22"/>
          <w:szCs w:val="22"/>
        </w:rPr>
        <w:t xml:space="preserve"> </w:t>
      </w:r>
      <w:r w:rsidR="006F7312">
        <w:rPr>
          <w:rFonts w:ascii="Arial" w:hAnsi="Arial" w:cs="Arial"/>
          <w:color w:val="333333"/>
          <w:sz w:val="22"/>
          <w:szCs w:val="22"/>
        </w:rPr>
        <w:t>At present the lac</w:t>
      </w:r>
      <w:r w:rsidR="00715E65">
        <w:rPr>
          <w:rFonts w:ascii="Arial" w:hAnsi="Arial" w:cs="Arial"/>
          <w:color w:val="333333"/>
          <w:sz w:val="22"/>
          <w:szCs w:val="22"/>
        </w:rPr>
        <w:t>k of compulsory registration</w:t>
      </w:r>
      <w:r w:rsidR="006F7312">
        <w:rPr>
          <w:rFonts w:ascii="Arial" w:hAnsi="Arial" w:cs="Arial"/>
          <w:color w:val="333333"/>
          <w:sz w:val="22"/>
          <w:szCs w:val="22"/>
        </w:rPr>
        <w:t xml:space="preserve"> </w:t>
      </w:r>
      <w:r w:rsidR="002F65C9">
        <w:rPr>
          <w:rFonts w:ascii="Arial" w:hAnsi="Arial" w:cs="Arial"/>
          <w:color w:val="333333"/>
          <w:sz w:val="22"/>
          <w:szCs w:val="22"/>
        </w:rPr>
        <w:t xml:space="preserve">of such </w:t>
      </w:r>
      <w:r w:rsidR="006F7312">
        <w:rPr>
          <w:rFonts w:ascii="Arial" w:hAnsi="Arial" w:cs="Arial"/>
          <w:color w:val="333333"/>
          <w:sz w:val="22"/>
          <w:szCs w:val="22"/>
        </w:rPr>
        <w:t xml:space="preserve">rights leads to the scenario </w:t>
      </w:r>
      <w:r w:rsidR="002F65C9">
        <w:rPr>
          <w:rFonts w:ascii="Arial" w:hAnsi="Arial" w:cs="Arial"/>
          <w:color w:val="333333"/>
          <w:sz w:val="22"/>
          <w:szCs w:val="22"/>
        </w:rPr>
        <w:t>where</w:t>
      </w:r>
      <w:r w:rsidR="00715E65">
        <w:rPr>
          <w:rFonts w:ascii="Arial" w:hAnsi="Arial" w:cs="Arial"/>
          <w:color w:val="333333"/>
          <w:sz w:val="22"/>
          <w:szCs w:val="22"/>
        </w:rPr>
        <w:t xml:space="preserve"> other people and organizations, including </w:t>
      </w:r>
      <w:r w:rsidR="006F7312">
        <w:rPr>
          <w:rFonts w:ascii="Arial" w:hAnsi="Arial" w:cs="Arial"/>
          <w:color w:val="333333"/>
          <w:sz w:val="22"/>
          <w:szCs w:val="22"/>
        </w:rPr>
        <w:t>the Land Registry, banks and people who want to buy property</w:t>
      </w:r>
      <w:r w:rsidR="002F65C9">
        <w:rPr>
          <w:rFonts w:ascii="Arial" w:hAnsi="Arial" w:cs="Arial"/>
          <w:color w:val="333333"/>
          <w:sz w:val="22"/>
          <w:szCs w:val="22"/>
        </w:rPr>
        <w:t xml:space="preserve"> subject to home rights</w:t>
      </w:r>
      <w:r w:rsidR="006F7312">
        <w:rPr>
          <w:rFonts w:ascii="Arial" w:hAnsi="Arial" w:cs="Arial"/>
          <w:color w:val="333333"/>
          <w:sz w:val="22"/>
          <w:szCs w:val="22"/>
        </w:rPr>
        <w:t xml:space="preserve"> </w:t>
      </w:r>
      <w:r w:rsidR="00715E65">
        <w:rPr>
          <w:rFonts w:ascii="Arial" w:hAnsi="Arial" w:cs="Arial"/>
          <w:color w:val="333333"/>
          <w:sz w:val="22"/>
          <w:szCs w:val="22"/>
        </w:rPr>
        <w:t>d</w:t>
      </w:r>
      <w:r w:rsidR="002F65C9">
        <w:rPr>
          <w:rFonts w:ascii="Arial" w:hAnsi="Arial" w:cs="Arial"/>
          <w:color w:val="333333"/>
          <w:sz w:val="22"/>
          <w:szCs w:val="22"/>
        </w:rPr>
        <w:t>o not</w:t>
      </w:r>
      <w:r w:rsidR="00715E65">
        <w:rPr>
          <w:rFonts w:ascii="Arial" w:hAnsi="Arial" w:cs="Arial"/>
          <w:color w:val="333333"/>
          <w:sz w:val="22"/>
          <w:szCs w:val="22"/>
        </w:rPr>
        <w:t xml:space="preserve"> know</w:t>
      </w:r>
      <w:r w:rsidR="006F7312">
        <w:rPr>
          <w:rFonts w:ascii="Arial" w:hAnsi="Arial" w:cs="Arial"/>
          <w:color w:val="333333"/>
          <w:sz w:val="22"/>
          <w:szCs w:val="22"/>
        </w:rPr>
        <w:t xml:space="preserve"> </w:t>
      </w:r>
      <w:r w:rsidR="002F65C9">
        <w:rPr>
          <w:rFonts w:ascii="Arial" w:hAnsi="Arial" w:cs="Arial"/>
          <w:color w:val="333333"/>
          <w:sz w:val="22"/>
          <w:szCs w:val="22"/>
        </w:rPr>
        <w:t>about the existence</w:t>
      </w:r>
      <w:r w:rsidR="00715E65">
        <w:rPr>
          <w:rFonts w:ascii="Arial" w:hAnsi="Arial" w:cs="Arial"/>
          <w:color w:val="333333"/>
          <w:sz w:val="22"/>
          <w:szCs w:val="22"/>
        </w:rPr>
        <w:t xml:space="preserve"> </w:t>
      </w:r>
      <w:r w:rsidR="002F65C9">
        <w:rPr>
          <w:rFonts w:ascii="Arial" w:hAnsi="Arial" w:cs="Arial"/>
          <w:color w:val="333333"/>
          <w:sz w:val="22"/>
          <w:szCs w:val="22"/>
        </w:rPr>
        <w:t>of such rights</w:t>
      </w:r>
      <w:r w:rsidR="00715E65">
        <w:rPr>
          <w:rFonts w:ascii="Arial" w:hAnsi="Arial" w:cs="Arial"/>
          <w:color w:val="333333"/>
          <w:sz w:val="22"/>
          <w:szCs w:val="22"/>
        </w:rPr>
        <w:t>.</w:t>
      </w:r>
      <w:r w:rsidR="00715E65">
        <w:rPr>
          <w:rStyle w:val="FootnoteReference"/>
          <w:rFonts w:ascii="Arial" w:hAnsi="Arial" w:cs="Arial"/>
          <w:color w:val="333333"/>
          <w:sz w:val="22"/>
          <w:szCs w:val="22"/>
        </w:rPr>
        <w:footnoteReference w:id="7"/>
      </w:r>
      <w:r w:rsidR="00715E65">
        <w:rPr>
          <w:rFonts w:ascii="Arial" w:hAnsi="Arial" w:cs="Arial"/>
          <w:color w:val="333333"/>
          <w:sz w:val="22"/>
          <w:szCs w:val="22"/>
        </w:rPr>
        <w:t xml:space="preserve"> </w:t>
      </w:r>
      <w:r w:rsidR="002F65C9">
        <w:rPr>
          <w:rFonts w:ascii="Arial" w:hAnsi="Arial" w:cs="Arial"/>
          <w:color w:val="333333"/>
          <w:sz w:val="22"/>
          <w:szCs w:val="22"/>
        </w:rPr>
        <w:t xml:space="preserve">In circumstances where women </w:t>
      </w:r>
      <w:r w:rsidR="00E63C5A">
        <w:rPr>
          <w:rFonts w:ascii="Arial" w:hAnsi="Arial" w:cs="Arial"/>
          <w:color w:val="333333"/>
          <w:sz w:val="22"/>
          <w:szCs w:val="22"/>
        </w:rPr>
        <w:t xml:space="preserve">are facing marital strain, </w:t>
      </w:r>
      <w:r w:rsidR="00760174">
        <w:rPr>
          <w:rFonts w:ascii="Arial" w:hAnsi="Arial" w:cs="Arial"/>
          <w:color w:val="333333"/>
          <w:sz w:val="22"/>
          <w:szCs w:val="22"/>
        </w:rPr>
        <w:t>who</w:t>
      </w:r>
      <w:r w:rsidR="00E63C5A">
        <w:rPr>
          <w:rFonts w:ascii="Arial" w:hAnsi="Arial" w:cs="Arial"/>
          <w:color w:val="333333"/>
          <w:sz w:val="22"/>
          <w:szCs w:val="22"/>
        </w:rPr>
        <w:t xml:space="preserve"> </w:t>
      </w:r>
      <w:r w:rsidR="002F65C9">
        <w:rPr>
          <w:rFonts w:ascii="Arial" w:hAnsi="Arial" w:cs="Arial"/>
          <w:color w:val="333333"/>
          <w:sz w:val="22"/>
          <w:szCs w:val="22"/>
        </w:rPr>
        <w:t>don’t know their ‘home rights’</w:t>
      </w:r>
      <w:r w:rsidR="00760174">
        <w:rPr>
          <w:rFonts w:ascii="Arial" w:hAnsi="Arial" w:cs="Arial"/>
          <w:color w:val="333333"/>
          <w:sz w:val="22"/>
          <w:szCs w:val="22"/>
        </w:rPr>
        <w:t xml:space="preserve"> exist</w:t>
      </w:r>
      <w:r w:rsidR="002F65C9">
        <w:rPr>
          <w:rFonts w:ascii="Arial" w:hAnsi="Arial" w:cs="Arial"/>
          <w:color w:val="333333"/>
          <w:sz w:val="22"/>
          <w:szCs w:val="22"/>
        </w:rPr>
        <w:t>, and/or are unable to face the burden of court costs and lawyers</w:t>
      </w:r>
      <w:r w:rsidR="00760174">
        <w:rPr>
          <w:rFonts w:ascii="Arial" w:hAnsi="Arial" w:cs="Arial"/>
          <w:color w:val="333333"/>
          <w:sz w:val="22"/>
          <w:szCs w:val="22"/>
        </w:rPr>
        <w:t xml:space="preserve"> to enforce these</w:t>
      </w:r>
      <w:r w:rsidR="002F65C9">
        <w:rPr>
          <w:rFonts w:ascii="Arial" w:hAnsi="Arial" w:cs="Arial"/>
          <w:color w:val="333333"/>
          <w:sz w:val="22"/>
          <w:szCs w:val="22"/>
        </w:rPr>
        <w:t xml:space="preserve">, they could be </w:t>
      </w:r>
      <w:r w:rsidR="00760174">
        <w:rPr>
          <w:rFonts w:ascii="Arial" w:hAnsi="Arial" w:cs="Arial"/>
          <w:color w:val="333333"/>
          <w:sz w:val="22"/>
          <w:szCs w:val="22"/>
        </w:rPr>
        <w:t>ejected</w:t>
      </w:r>
      <w:r w:rsidR="002F65C9">
        <w:rPr>
          <w:rFonts w:ascii="Arial" w:hAnsi="Arial" w:cs="Arial"/>
          <w:color w:val="333333"/>
          <w:sz w:val="22"/>
          <w:szCs w:val="22"/>
        </w:rPr>
        <w:t xml:space="preserve"> from the home upon sale to a third party. Given statistics in the UK showing that 42% of single parents live in relative poverty after </w:t>
      </w:r>
      <w:r w:rsidR="002F65C9">
        <w:rPr>
          <w:rFonts w:ascii="Arial" w:hAnsi="Arial" w:cs="Arial"/>
          <w:color w:val="333333"/>
          <w:sz w:val="22"/>
          <w:szCs w:val="22"/>
          <w:u w:val="single"/>
        </w:rPr>
        <w:t>housing costs</w:t>
      </w:r>
      <w:r w:rsidR="002F65C9">
        <w:rPr>
          <w:rFonts w:ascii="Arial" w:hAnsi="Arial" w:cs="Arial"/>
          <w:color w:val="333333"/>
          <w:sz w:val="22"/>
          <w:szCs w:val="22"/>
        </w:rPr>
        <w:t xml:space="preserve"> (and that 90% of single parents are women), it is important to recognize the value of compulsory joint registration as a step to protecting women from such arbitrary deprivations</w:t>
      </w:r>
      <w:r w:rsidR="003750B7">
        <w:rPr>
          <w:rFonts w:ascii="Arial" w:hAnsi="Arial" w:cs="Arial"/>
          <w:color w:val="333333"/>
          <w:sz w:val="22"/>
          <w:szCs w:val="22"/>
        </w:rPr>
        <w:t>, especially when the marriage is ongoing.</w:t>
      </w:r>
      <w:r w:rsidR="00E63C5A">
        <w:rPr>
          <w:rStyle w:val="FootnoteReference"/>
          <w:rFonts w:ascii="Arial" w:hAnsi="Arial" w:cs="Arial"/>
          <w:color w:val="333333"/>
          <w:sz w:val="22"/>
          <w:szCs w:val="22"/>
        </w:rPr>
        <w:footnoteReference w:id="8"/>
      </w:r>
      <w:r w:rsidR="003750B7">
        <w:rPr>
          <w:rFonts w:ascii="Arial" w:hAnsi="Arial" w:cs="Arial"/>
          <w:color w:val="333333"/>
          <w:sz w:val="22"/>
          <w:szCs w:val="22"/>
        </w:rPr>
        <w:t xml:space="preserve"> </w:t>
      </w:r>
      <w:r w:rsidR="002F65C9">
        <w:rPr>
          <w:rFonts w:ascii="Arial" w:hAnsi="Arial" w:cs="Arial"/>
          <w:color w:val="333333"/>
          <w:sz w:val="22"/>
          <w:szCs w:val="22"/>
        </w:rPr>
        <w:t xml:space="preserve"> </w:t>
      </w:r>
    </w:p>
    <w:p w14:paraId="277E37EE" w14:textId="77777777" w:rsidR="00966F3D" w:rsidRPr="00B4270F" w:rsidRDefault="00966F3D" w:rsidP="00460EA6">
      <w:pPr>
        <w:ind w:left="0" w:firstLine="0"/>
        <w:rPr>
          <w:rFonts w:ascii="Arial" w:hAnsi="Arial" w:cs="Arial"/>
          <w:color w:val="000000" w:themeColor="text1"/>
          <w:sz w:val="22"/>
          <w:szCs w:val="22"/>
          <w:lang w:val="en-AU"/>
        </w:rPr>
      </w:pPr>
    </w:p>
    <w:p w14:paraId="30346C92" w14:textId="77777777" w:rsidR="00757BF7" w:rsidRPr="00830362" w:rsidRDefault="00942F14" w:rsidP="00830362">
      <w:pPr>
        <w:widowControl w:val="0"/>
        <w:ind w:left="0" w:firstLine="0"/>
        <w:contextualSpacing w:val="0"/>
        <w:rPr>
          <w:rFonts w:ascii="Arial" w:hAnsi="Arial" w:cs="Arial"/>
          <w:color w:val="000000" w:themeColor="text1"/>
          <w:sz w:val="22"/>
          <w:szCs w:val="22"/>
          <w:lang w:val="en-AU"/>
        </w:rPr>
      </w:pPr>
      <w:r w:rsidRPr="00830362">
        <w:rPr>
          <w:rFonts w:ascii="Arial" w:hAnsi="Arial" w:cs="Arial"/>
          <w:b/>
          <w:color w:val="000000" w:themeColor="text1"/>
          <w:sz w:val="22"/>
          <w:szCs w:val="22"/>
          <w:lang w:val="en-AU"/>
        </w:rPr>
        <w:t>Moreover, i</w:t>
      </w:r>
      <w:r w:rsidR="00E63C5A" w:rsidRPr="00830362">
        <w:rPr>
          <w:rFonts w:ascii="Arial" w:hAnsi="Arial" w:cs="Arial"/>
          <w:b/>
          <w:color w:val="000000" w:themeColor="text1"/>
          <w:sz w:val="22"/>
          <w:szCs w:val="22"/>
          <w:lang w:val="en-AU"/>
        </w:rPr>
        <w:t xml:space="preserve">n circumstances where women are </w:t>
      </w:r>
      <w:r w:rsidR="00E63C5A" w:rsidRPr="00830362">
        <w:rPr>
          <w:rFonts w:ascii="Arial" w:hAnsi="Arial" w:cs="Arial"/>
          <w:b/>
          <w:i/>
          <w:color w:val="000000" w:themeColor="text1"/>
          <w:sz w:val="22"/>
          <w:szCs w:val="22"/>
          <w:lang w:val="en-AU"/>
        </w:rPr>
        <w:t>unmarried</w:t>
      </w:r>
      <w:r w:rsidR="00E63C5A" w:rsidRPr="00830362">
        <w:rPr>
          <w:rFonts w:ascii="Arial" w:hAnsi="Arial" w:cs="Arial"/>
          <w:b/>
          <w:color w:val="000000" w:themeColor="text1"/>
          <w:sz w:val="22"/>
          <w:szCs w:val="22"/>
          <w:lang w:val="en-AU"/>
        </w:rPr>
        <w:t>, joint registration creates certainty over</w:t>
      </w:r>
      <w:r w:rsidR="00742039" w:rsidRPr="00830362">
        <w:rPr>
          <w:rFonts w:ascii="Arial" w:hAnsi="Arial" w:cs="Arial"/>
          <w:b/>
          <w:color w:val="000000" w:themeColor="text1"/>
          <w:sz w:val="22"/>
          <w:szCs w:val="22"/>
          <w:lang w:val="en-AU"/>
        </w:rPr>
        <w:t xml:space="preserve"> </w:t>
      </w:r>
      <w:r w:rsidR="00742039" w:rsidRPr="00830362">
        <w:rPr>
          <w:rFonts w:ascii="Arial" w:hAnsi="Arial" w:cs="Arial"/>
          <w:b/>
          <w:i/>
          <w:color w:val="000000" w:themeColor="text1"/>
          <w:sz w:val="22"/>
          <w:szCs w:val="22"/>
          <w:lang w:val="en-AU"/>
        </w:rPr>
        <w:t>commonly owned</w:t>
      </w:r>
      <w:r w:rsidR="00460EA6" w:rsidRPr="00830362">
        <w:rPr>
          <w:rFonts w:ascii="Arial" w:hAnsi="Arial" w:cs="Arial"/>
          <w:b/>
          <w:i/>
          <w:color w:val="000000" w:themeColor="text1"/>
          <w:sz w:val="22"/>
          <w:szCs w:val="22"/>
          <w:lang w:val="en-AU"/>
        </w:rPr>
        <w:t xml:space="preserve"> property</w:t>
      </w:r>
      <w:r w:rsidR="00134EA6" w:rsidRPr="00830362">
        <w:rPr>
          <w:rFonts w:ascii="Arial" w:hAnsi="Arial" w:cs="Arial"/>
          <w:color w:val="000000" w:themeColor="text1"/>
          <w:sz w:val="22"/>
          <w:szCs w:val="22"/>
          <w:lang w:val="en-AU"/>
        </w:rPr>
        <w:t>. C</w:t>
      </w:r>
      <w:r w:rsidR="0064599D" w:rsidRPr="00830362">
        <w:rPr>
          <w:rFonts w:ascii="Arial" w:hAnsi="Arial" w:cs="Arial"/>
          <w:color w:val="000000" w:themeColor="text1"/>
          <w:sz w:val="22"/>
          <w:szCs w:val="22"/>
          <w:lang w:val="en-AU"/>
        </w:rPr>
        <w:t xml:space="preserve">ertain laws extend </w:t>
      </w:r>
      <w:r w:rsidR="00134EA6" w:rsidRPr="00830362">
        <w:rPr>
          <w:rFonts w:ascii="Arial" w:hAnsi="Arial" w:cs="Arial"/>
          <w:color w:val="000000" w:themeColor="text1"/>
          <w:sz w:val="22"/>
          <w:szCs w:val="22"/>
          <w:lang w:val="en-AU"/>
        </w:rPr>
        <w:t xml:space="preserve">spousal consent requirements and </w:t>
      </w:r>
      <w:r w:rsidR="0064599D" w:rsidRPr="00830362">
        <w:rPr>
          <w:rFonts w:ascii="Arial" w:hAnsi="Arial" w:cs="Arial"/>
          <w:color w:val="000000" w:themeColor="text1"/>
          <w:sz w:val="22"/>
          <w:szCs w:val="22"/>
          <w:lang w:val="en-AU"/>
        </w:rPr>
        <w:t xml:space="preserve">default </w:t>
      </w:r>
      <w:r w:rsidR="00134EA6" w:rsidRPr="00830362">
        <w:rPr>
          <w:rFonts w:ascii="Arial" w:hAnsi="Arial" w:cs="Arial"/>
          <w:color w:val="000000" w:themeColor="text1"/>
          <w:sz w:val="22"/>
          <w:szCs w:val="22"/>
          <w:lang w:val="en-AU"/>
        </w:rPr>
        <w:t>community of property regime to unmarried couple</w:t>
      </w:r>
      <w:r w:rsidR="0064599D" w:rsidRPr="00830362">
        <w:rPr>
          <w:rFonts w:ascii="Arial" w:hAnsi="Arial" w:cs="Arial"/>
          <w:color w:val="000000" w:themeColor="text1"/>
          <w:sz w:val="22"/>
          <w:szCs w:val="22"/>
          <w:lang w:val="en-AU"/>
        </w:rPr>
        <w:t xml:space="preserve">s who meet certain requirements. </w:t>
      </w:r>
      <w:r w:rsidR="00460EA6" w:rsidRPr="00830362">
        <w:rPr>
          <w:rFonts w:ascii="Arial" w:hAnsi="Arial" w:cs="Arial"/>
          <w:color w:val="000000" w:themeColor="text1"/>
          <w:sz w:val="22"/>
          <w:szCs w:val="22"/>
          <w:lang w:val="en-AU"/>
        </w:rPr>
        <w:t>However, f</w:t>
      </w:r>
      <w:r w:rsidR="00966F3D" w:rsidRPr="00830362">
        <w:rPr>
          <w:rFonts w:ascii="Arial" w:hAnsi="Arial" w:cs="Arial"/>
          <w:color w:val="000000" w:themeColor="text1"/>
          <w:sz w:val="22"/>
          <w:szCs w:val="22"/>
          <w:lang w:val="en-AU"/>
        </w:rPr>
        <w:t xml:space="preserve">emale partners may </w:t>
      </w:r>
      <w:r w:rsidR="0064599D" w:rsidRPr="00830362">
        <w:rPr>
          <w:rFonts w:ascii="Arial" w:hAnsi="Arial" w:cs="Arial"/>
          <w:color w:val="000000" w:themeColor="text1"/>
          <w:sz w:val="22"/>
          <w:szCs w:val="22"/>
          <w:lang w:val="en-AU"/>
        </w:rPr>
        <w:t>face</w:t>
      </w:r>
      <w:r w:rsidR="00134EA6" w:rsidRPr="00830362">
        <w:rPr>
          <w:rFonts w:ascii="Arial" w:hAnsi="Arial" w:cs="Arial"/>
          <w:color w:val="000000" w:themeColor="text1"/>
          <w:sz w:val="22"/>
          <w:szCs w:val="22"/>
          <w:lang w:val="en-AU"/>
        </w:rPr>
        <w:t xml:space="preserve"> the double challenge of having to prove that their cohabitation creates rights and interests before they can even exercise these rights to refuse consent to a transaction, or to be awarded half of the value of the property upon separation.</w:t>
      </w:r>
      <w:r w:rsidR="00D528E0">
        <w:rPr>
          <w:rStyle w:val="FootnoteReference"/>
          <w:rFonts w:ascii="Arial" w:hAnsi="Arial" w:cs="Arial"/>
          <w:color w:val="000000" w:themeColor="text1"/>
          <w:sz w:val="22"/>
          <w:szCs w:val="22"/>
          <w:lang w:val="en-AU"/>
        </w:rPr>
        <w:footnoteReference w:id="9"/>
      </w:r>
      <w:r w:rsidR="00603551" w:rsidRPr="00830362">
        <w:rPr>
          <w:rFonts w:ascii="Arial" w:hAnsi="Arial" w:cs="Arial"/>
          <w:color w:val="000000" w:themeColor="text1"/>
          <w:sz w:val="22"/>
          <w:szCs w:val="22"/>
          <w:lang w:val="en-AU"/>
        </w:rPr>
        <w:t xml:space="preserve"> Record of</w:t>
      </w:r>
      <w:r w:rsidR="00460EA6" w:rsidRPr="00830362">
        <w:rPr>
          <w:rFonts w:ascii="Arial" w:hAnsi="Arial" w:cs="Arial"/>
          <w:color w:val="000000" w:themeColor="text1"/>
          <w:sz w:val="22"/>
          <w:szCs w:val="22"/>
          <w:lang w:val="en-AU"/>
        </w:rPr>
        <w:t xml:space="preserve"> </w:t>
      </w:r>
      <w:r w:rsidR="00603551" w:rsidRPr="00830362">
        <w:rPr>
          <w:rFonts w:ascii="Arial" w:hAnsi="Arial" w:cs="Arial"/>
          <w:color w:val="000000" w:themeColor="text1"/>
          <w:sz w:val="22"/>
          <w:szCs w:val="22"/>
          <w:lang w:val="en-AU"/>
        </w:rPr>
        <w:t xml:space="preserve">property </w:t>
      </w:r>
      <w:r w:rsidR="00460EA6" w:rsidRPr="00830362">
        <w:rPr>
          <w:rFonts w:ascii="Arial" w:hAnsi="Arial" w:cs="Arial"/>
          <w:color w:val="000000" w:themeColor="text1"/>
          <w:sz w:val="22"/>
          <w:szCs w:val="22"/>
          <w:lang w:val="en-AU"/>
        </w:rPr>
        <w:t>right</w:t>
      </w:r>
      <w:r w:rsidR="00603551" w:rsidRPr="00830362">
        <w:rPr>
          <w:rFonts w:ascii="Arial" w:hAnsi="Arial" w:cs="Arial"/>
          <w:color w:val="000000" w:themeColor="text1"/>
          <w:sz w:val="22"/>
          <w:szCs w:val="22"/>
          <w:lang w:val="en-AU"/>
        </w:rPr>
        <w:t>s</w:t>
      </w:r>
      <w:r w:rsidR="00460EA6" w:rsidRPr="00830362">
        <w:rPr>
          <w:rFonts w:ascii="Arial" w:hAnsi="Arial" w:cs="Arial"/>
          <w:color w:val="000000" w:themeColor="text1"/>
          <w:sz w:val="22"/>
          <w:szCs w:val="22"/>
          <w:lang w:val="en-AU"/>
        </w:rPr>
        <w:t xml:space="preserve"> </w:t>
      </w:r>
      <w:r w:rsidR="00966F3D" w:rsidRPr="00830362">
        <w:rPr>
          <w:rFonts w:ascii="Arial" w:hAnsi="Arial" w:cs="Arial"/>
          <w:color w:val="000000" w:themeColor="text1"/>
          <w:sz w:val="22"/>
          <w:szCs w:val="22"/>
          <w:lang w:val="en-AU"/>
        </w:rPr>
        <w:t>can</w:t>
      </w:r>
      <w:r w:rsidR="00460EA6" w:rsidRPr="00830362">
        <w:rPr>
          <w:rFonts w:ascii="Arial" w:hAnsi="Arial" w:cs="Arial"/>
          <w:color w:val="000000" w:themeColor="text1"/>
          <w:sz w:val="22"/>
          <w:szCs w:val="22"/>
          <w:lang w:val="en-AU"/>
        </w:rPr>
        <w:t xml:space="preserve"> </w:t>
      </w:r>
      <w:r w:rsidR="00603551" w:rsidRPr="00830362">
        <w:rPr>
          <w:rFonts w:ascii="Arial" w:hAnsi="Arial" w:cs="Arial"/>
          <w:color w:val="000000" w:themeColor="text1"/>
          <w:sz w:val="22"/>
          <w:szCs w:val="22"/>
          <w:lang w:val="en-AU"/>
        </w:rPr>
        <w:t>make</w:t>
      </w:r>
      <w:r w:rsidR="00460EA6" w:rsidRPr="00830362">
        <w:rPr>
          <w:rFonts w:ascii="Arial" w:hAnsi="Arial" w:cs="Arial"/>
          <w:color w:val="000000" w:themeColor="text1"/>
          <w:sz w:val="22"/>
          <w:szCs w:val="22"/>
          <w:lang w:val="en-AU"/>
        </w:rPr>
        <w:t xml:space="preserve"> proof of her right over the asset less </w:t>
      </w:r>
      <w:r w:rsidR="00EF4E1B" w:rsidRPr="00830362">
        <w:rPr>
          <w:rFonts w:ascii="Arial" w:hAnsi="Arial" w:cs="Arial"/>
          <w:color w:val="000000" w:themeColor="text1"/>
          <w:sz w:val="22"/>
          <w:szCs w:val="22"/>
          <w:lang w:val="en-AU"/>
        </w:rPr>
        <w:t>burdensome</w:t>
      </w:r>
      <w:r w:rsidR="00460EA6" w:rsidRPr="00830362">
        <w:rPr>
          <w:rFonts w:ascii="Arial" w:hAnsi="Arial" w:cs="Arial"/>
          <w:color w:val="000000" w:themeColor="text1"/>
          <w:sz w:val="22"/>
          <w:szCs w:val="22"/>
          <w:lang w:val="en-AU"/>
        </w:rPr>
        <w:t>.</w:t>
      </w:r>
      <w:r w:rsidR="00CF2041" w:rsidRPr="00830362">
        <w:rPr>
          <w:rFonts w:ascii="Arial" w:hAnsi="Arial" w:cs="Arial"/>
          <w:color w:val="000000" w:themeColor="text1"/>
          <w:sz w:val="22"/>
          <w:szCs w:val="22"/>
        </w:rPr>
        <w:t xml:space="preserve"> </w:t>
      </w:r>
    </w:p>
    <w:p w14:paraId="6635DEF9" w14:textId="77777777" w:rsidR="00757BF7" w:rsidRPr="00757BF7" w:rsidRDefault="00757BF7" w:rsidP="00757BF7">
      <w:pPr>
        <w:pStyle w:val="ListParagraph"/>
        <w:rPr>
          <w:rFonts w:ascii="Arial" w:hAnsi="Arial" w:cs="Arial"/>
          <w:b/>
          <w:color w:val="000000" w:themeColor="text1"/>
          <w:sz w:val="22"/>
          <w:szCs w:val="22"/>
          <w:lang w:val="en-AU"/>
        </w:rPr>
      </w:pPr>
    </w:p>
    <w:p w14:paraId="3BB7F0AA" w14:textId="77777777" w:rsidR="00CF2041" w:rsidRPr="00801BAF" w:rsidRDefault="006B356D" w:rsidP="00801BAF">
      <w:pPr>
        <w:pStyle w:val="ListParagraph"/>
        <w:ind w:left="0" w:firstLine="0"/>
        <w:rPr>
          <w:rFonts w:ascii="Arial" w:eastAsiaTheme="minorHAnsi" w:hAnsi="Arial" w:cs="Arial"/>
          <w:color w:val="auto"/>
          <w:sz w:val="22"/>
          <w:szCs w:val="22"/>
          <w:lang w:val="en-GB"/>
        </w:rPr>
      </w:pPr>
      <w:r>
        <w:rPr>
          <w:rFonts w:ascii="Arial" w:eastAsiaTheme="minorHAnsi" w:hAnsi="Arial" w:cs="Arial"/>
          <w:color w:val="auto"/>
          <w:sz w:val="22"/>
          <w:szCs w:val="22"/>
          <w:lang w:val="en-AU"/>
        </w:rPr>
        <w:lastRenderedPageBreak/>
        <w:t xml:space="preserve">Finally, </w:t>
      </w:r>
      <w:r w:rsidRPr="005D1CAC">
        <w:rPr>
          <w:rFonts w:ascii="Arial" w:eastAsiaTheme="minorHAnsi" w:hAnsi="Arial" w:cs="Arial"/>
          <w:b/>
          <w:color w:val="auto"/>
          <w:sz w:val="22"/>
          <w:szCs w:val="22"/>
          <w:lang w:val="en-AU"/>
        </w:rPr>
        <w:t>t</w:t>
      </w:r>
      <w:r w:rsidR="00CF2041" w:rsidRPr="005D1CAC">
        <w:rPr>
          <w:rFonts w:ascii="Arial" w:eastAsiaTheme="minorHAnsi" w:hAnsi="Arial" w:cs="Arial"/>
          <w:b/>
          <w:color w:val="auto"/>
          <w:sz w:val="22"/>
          <w:szCs w:val="22"/>
          <w:lang w:val="en-AU"/>
        </w:rPr>
        <w:t>here is evidence that some states have recognised</w:t>
      </w:r>
      <w:r w:rsidR="00830362" w:rsidRPr="005D1CAC">
        <w:rPr>
          <w:rFonts w:ascii="Arial" w:eastAsiaTheme="minorHAnsi" w:hAnsi="Arial" w:cs="Arial"/>
          <w:b/>
          <w:color w:val="auto"/>
          <w:sz w:val="22"/>
          <w:szCs w:val="22"/>
          <w:lang w:val="en-AU"/>
        </w:rPr>
        <w:t xml:space="preserve"> the persisting inequalities women face</w:t>
      </w:r>
      <w:r w:rsidR="00CF2041" w:rsidRPr="005D1CAC">
        <w:rPr>
          <w:rFonts w:ascii="Arial" w:eastAsiaTheme="minorHAnsi" w:hAnsi="Arial" w:cs="Arial"/>
          <w:b/>
          <w:color w:val="auto"/>
          <w:sz w:val="22"/>
          <w:szCs w:val="22"/>
          <w:lang w:val="en-AU"/>
        </w:rPr>
        <w:t xml:space="preserve">, including in </w:t>
      </w:r>
      <w:r w:rsidR="00CF2041" w:rsidRPr="005D1CAC">
        <w:rPr>
          <w:rFonts w:ascii="Arial" w:eastAsiaTheme="minorHAnsi" w:hAnsi="Arial" w:cs="Arial"/>
          <w:b/>
          <w:color w:val="auto"/>
          <w:sz w:val="22"/>
          <w:szCs w:val="22"/>
          <w:lang w:val="en-GB"/>
        </w:rPr>
        <w:t>economically advanced countries</w:t>
      </w:r>
      <w:r w:rsidR="00BA29BF">
        <w:rPr>
          <w:rFonts w:ascii="Arial" w:eastAsiaTheme="minorHAnsi" w:hAnsi="Arial" w:cs="Arial"/>
          <w:b/>
          <w:color w:val="auto"/>
          <w:sz w:val="22"/>
          <w:szCs w:val="22"/>
          <w:lang w:val="en-GB"/>
        </w:rPr>
        <w:t>, and have reformed the law with a view to addressing legal inequality</w:t>
      </w:r>
      <w:r w:rsidR="00CF2041" w:rsidRPr="00801BAF">
        <w:rPr>
          <w:rFonts w:ascii="Arial" w:eastAsiaTheme="minorHAnsi" w:hAnsi="Arial" w:cs="Arial"/>
          <w:color w:val="auto"/>
          <w:sz w:val="22"/>
          <w:szCs w:val="22"/>
          <w:lang w:val="en-GB"/>
        </w:rPr>
        <w:t>. For example, in France</w:t>
      </w:r>
      <w:r w:rsidR="00915800" w:rsidRPr="00801BAF">
        <w:rPr>
          <w:rFonts w:ascii="Arial" w:eastAsiaTheme="minorHAnsi" w:hAnsi="Arial" w:cs="Arial"/>
          <w:color w:val="auto"/>
          <w:sz w:val="22"/>
          <w:szCs w:val="22"/>
          <w:lang w:val="en-GB"/>
        </w:rPr>
        <w:t xml:space="preserve"> </w:t>
      </w:r>
      <w:r w:rsidR="00CF2041" w:rsidRPr="00801BAF">
        <w:rPr>
          <w:rFonts w:ascii="Arial" w:eastAsiaTheme="minorHAnsi" w:hAnsi="Arial" w:cs="Arial"/>
          <w:color w:val="auto"/>
          <w:sz w:val="22"/>
          <w:szCs w:val="22"/>
          <w:lang w:val="en-GB"/>
        </w:rPr>
        <w:t>the law provides that when property i</w:t>
      </w:r>
      <w:r w:rsidR="00976B0E">
        <w:rPr>
          <w:rFonts w:ascii="Arial" w:eastAsiaTheme="minorHAnsi" w:hAnsi="Arial" w:cs="Arial"/>
          <w:color w:val="auto"/>
          <w:sz w:val="22"/>
          <w:szCs w:val="22"/>
          <w:lang w:val="en-GB"/>
        </w:rPr>
        <w:t>s registered</w:t>
      </w:r>
      <w:r w:rsidR="006B6EB5">
        <w:rPr>
          <w:rFonts w:ascii="Arial" w:eastAsiaTheme="minorHAnsi" w:hAnsi="Arial" w:cs="Arial"/>
          <w:color w:val="auto"/>
          <w:sz w:val="22"/>
          <w:szCs w:val="22"/>
          <w:lang w:val="en-GB"/>
        </w:rPr>
        <w:t>,</w:t>
      </w:r>
      <w:r w:rsidR="00976B0E">
        <w:rPr>
          <w:rFonts w:ascii="Arial" w:eastAsiaTheme="minorHAnsi" w:hAnsi="Arial" w:cs="Arial"/>
          <w:color w:val="auto"/>
          <w:sz w:val="22"/>
          <w:szCs w:val="22"/>
          <w:lang w:val="en-GB"/>
        </w:rPr>
        <w:t xml:space="preserve"> the marital status and</w:t>
      </w:r>
      <w:r w:rsidR="00CF2041" w:rsidRPr="00801BAF">
        <w:rPr>
          <w:rFonts w:ascii="Arial" w:eastAsiaTheme="minorHAnsi" w:hAnsi="Arial" w:cs="Arial"/>
          <w:color w:val="auto"/>
          <w:sz w:val="22"/>
          <w:szCs w:val="22"/>
          <w:lang w:val="en-GB"/>
        </w:rPr>
        <w:t xml:space="preserve"> the name of the spouse must be recorded on the document registering ownership</w:t>
      </w:r>
      <w:r w:rsidR="005A1A5D">
        <w:rPr>
          <w:rFonts w:ascii="Arial" w:eastAsiaTheme="minorHAnsi" w:hAnsi="Arial" w:cs="Arial"/>
          <w:color w:val="auto"/>
          <w:sz w:val="22"/>
          <w:szCs w:val="22"/>
          <w:lang w:val="en-GB"/>
        </w:rPr>
        <w:t>.</w:t>
      </w:r>
      <w:r w:rsidR="00CF2041" w:rsidRPr="00801BAF">
        <w:rPr>
          <w:rStyle w:val="FootnoteReference"/>
          <w:rFonts w:ascii="Arial" w:eastAsiaTheme="minorHAnsi" w:hAnsi="Arial" w:cs="Arial"/>
          <w:color w:val="auto"/>
          <w:sz w:val="22"/>
          <w:szCs w:val="22"/>
          <w:lang w:val="en-GB"/>
        </w:rPr>
        <w:footnoteReference w:id="10"/>
      </w:r>
      <w:r w:rsidR="00CF2041" w:rsidRPr="00801BAF">
        <w:rPr>
          <w:rFonts w:ascii="Arial" w:eastAsiaTheme="minorHAnsi" w:hAnsi="Arial" w:cs="Arial"/>
          <w:color w:val="auto"/>
          <w:sz w:val="22"/>
          <w:szCs w:val="22"/>
          <w:lang w:val="en-GB"/>
        </w:rPr>
        <w:t xml:space="preserve"> </w:t>
      </w:r>
      <w:r w:rsidR="00801BAF" w:rsidRPr="00801BAF">
        <w:rPr>
          <w:rFonts w:ascii="Arial" w:eastAsiaTheme="minorHAnsi" w:hAnsi="Arial" w:cs="Arial"/>
          <w:color w:val="auto"/>
          <w:sz w:val="22"/>
          <w:szCs w:val="22"/>
          <w:lang w:val="en-GB"/>
        </w:rPr>
        <w:t xml:space="preserve">Equally, property registration laws </w:t>
      </w:r>
      <w:r w:rsidR="005A1A5D">
        <w:rPr>
          <w:rFonts w:ascii="Arial" w:eastAsiaTheme="minorHAnsi" w:hAnsi="Arial" w:cs="Arial"/>
          <w:color w:val="auto"/>
          <w:sz w:val="22"/>
          <w:szCs w:val="22"/>
          <w:lang w:val="en-GB"/>
        </w:rPr>
        <w:t>mandate</w:t>
      </w:r>
      <w:r w:rsidR="00801BAF" w:rsidRPr="00801BAF">
        <w:rPr>
          <w:rFonts w:ascii="Arial" w:eastAsiaTheme="minorHAnsi" w:hAnsi="Arial" w:cs="Arial"/>
          <w:color w:val="auto"/>
          <w:sz w:val="22"/>
          <w:szCs w:val="22"/>
          <w:lang w:val="en-GB"/>
        </w:rPr>
        <w:t xml:space="preserve"> registration </w:t>
      </w:r>
      <w:r w:rsidR="005A1A5D">
        <w:rPr>
          <w:rFonts w:ascii="Arial" w:eastAsiaTheme="minorHAnsi" w:hAnsi="Arial" w:cs="Arial"/>
          <w:color w:val="auto"/>
          <w:sz w:val="22"/>
          <w:szCs w:val="22"/>
          <w:lang w:val="en-GB"/>
        </w:rPr>
        <w:t xml:space="preserve">of both </w:t>
      </w:r>
      <w:r w:rsidR="00801BAF" w:rsidRPr="00801BAF">
        <w:rPr>
          <w:rFonts w:ascii="Arial" w:eastAsiaTheme="minorHAnsi" w:hAnsi="Arial" w:cs="Arial"/>
          <w:color w:val="auto"/>
          <w:sz w:val="22"/>
          <w:szCs w:val="22"/>
          <w:lang w:val="en-GB"/>
        </w:rPr>
        <w:t>co-owners/joint owners of matrimonial property in Albania</w:t>
      </w:r>
      <w:r w:rsidR="00801BAF" w:rsidRPr="00801BAF">
        <w:rPr>
          <w:rStyle w:val="FootnoteReference"/>
          <w:rFonts w:ascii="Arial" w:eastAsiaTheme="minorHAnsi" w:hAnsi="Arial" w:cs="Arial"/>
          <w:color w:val="auto"/>
          <w:sz w:val="22"/>
          <w:szCs w:val="22"/>
          <w:lang w:val="en-GB"/>
        </w:rPr>
        <w:footnoteReference w:id="11"/>
      </w:r>
      <w:r w:rsidR="004B68BC">
        <w:rPr>
          <w:rFonts w:ascii="Arial" w:eastAsiaTheme="minorHAnsi" w:hAnsi="Arial" w:cs="Arial"/>
          <w:color w:val="auto"/>
          <w:sz w:val="22"/>
          <w:szCs w:val="22"/>
          <w:lang w:val="en-GB"/>
        </w:rPr>
        <w:t xml:space="preserve"> </w:t>
      </w:r>
      <w:r w:rsidR="00801BAF" w:rsidRPr="00801BAF">
        <w:rPr>
          <w:rFonts w:ascii="Arial" w:eastAsiaTheme="minorHAnsi" w:hAnsi="Arial" w:cs="Arial"/>
          <w:color w:val="auto"/>
          <w:sz w:val="22"/>
          <w:szCs w:val="22"/>
          <w:lang w:val="en-GB"/>
        </w:rPr>
        <w:t>and Serbia</w:t>
      </w:r>
      <w:r w:rsidR="00801BAF" w:rsidRPr="00801BAF">
        <w:rPr>
          <w:rStyle w:val="FootnoteReference"/>
          <w:rFonts w:ascii="Arial" w:eastAsiaTheme="minorHAnsi" w:hAnsi="Arial" w:cs="Arial"/>
          <w:color w:val="auto"/>
          <w:sz w:val="22"/>
          <w:szCs w:val="22"/>
          <w:lang w:val="en-GB"/>
        </w:rPr>
        <w:footnoteReference w:id="12"/>
      </w:r>
      <w:r w:rsidR="004B68BC">
        <w:rPr>
          <w:rFonts w:ascii="Arial" w:eastAsiaTheme="minorHAnsi" w:hAnsi="Arial" w:cs="Arial"/>
          <w:color w:val="auto"/>
          <w:sz w:val="22"/>
          <w:szCs w:val="22"/>
          <w:lang w:val="en-GB"/>
        </w:rPr>
        <w:t>(</w:t>
      </w:r>
      <w:r w:rsidR="005D1CAC">
        <w:rPr>
          <w:rFonts w:ascii="Arial" w:eastAsiaTheme="minorHAnsi" w:hAnsi="Arial" w:cs="Arial"/>
          <w:color w:val="auto"/>
          <w:sz w:val="22"/>
          <w:szCs w:val="22"/>
          <w:lang w:val="en-GB"/>
        </w:rPr>
        <w:t xml:space="preserve">See </w:t>
      </w:r>
      <w:r w:rsidR="004B68BC">
        <w:rPr>
          <w:rFonts w:ascii="Arial" w:eastAsiaTheme="minorHAnsi" w:hAnsi="Arial" w:cs="Arial"/>
          <w:b/>
          <w:color w:val="auto"/>
          <w:sz w:val="22"/>
          <w:szCs w:val="22"/>
          <w:lang w:val="en-GB"/>
        </w:rPr>
        <w:t>A</w:t>
      </w:r>
      <w:r w:rsidR="004B68BC" w:rsidRPr="004B68BC">
        <w:rPr>
          <w:rFonts w:ascii="Arial" w:eastAsiaTheme="minorHAnsi" w:hAnsi="Arial" w:cs="Arial"/>
          <w:b/>
          <w:color w:val="auto"/>
          <w:sz w:val="22"/>
          <w:szCs w:val="22"/>
          <w:lang w:val="en-GB"/>
        </w:rPr>
        <w:t>NNEX I)</w:t>
      </w:r>
      <w:r w:rsidR="00801BAF" w:rsidRPr="004B68BC">
        <w:rPr>
          <w:rFonts w:ascii="Arial" w:eastAsiaTheme="minorHAnsi" w:hAnsi="Arial" w:cs="Arial"/>
          <w:b/>
          <w:color w:val="auto"/>
          <w:sz w:val="22"/>
          <w:szCs w:val="22"/>
          <w:lang w:val="en-GB"/>
        </w:rPr>
        <w:t>.</w:t>
      </w:r>
    </w:p>
    <w:p w14:paraId="1A988D6A" w14:textId="77777777" w:rsidR="00134EA6" w:rsidRPr="00801BAF" w:rsidRDefault="00134EA6" w:rsidP="00B87D18">
      <w:pPr>
        <w:ind w:left="0" w:firstLine="0"/>
        <w:rPr>
          <w:rFonts w:ascii="Arial" w:hAnsi="Arial" w:cs="Arial"/>
          <w:color w:val="000000" w:themeColor="text1"/>
          <w:sz w:val="22"/>
          <w:szCs w:val="22"/>
          <w:lang w:val="en-GB"/>
        </w:rPr>
      </w:pPr>
    </w:p>
    <w:p w14:paraId="6975E54F" w14:textId="77777777" w:rsidR="0063176D" w:rsidRPr="00937B6F" w:rsidRDefault="0063176D" w:rsidP="009F3857">
      <w:pPr>
        <w:widowControl w:val="0"/>
        <w:ind w:left="0" w:firstLine="0"/>
        <w:contextualSpacing w:val="0"/>
        <w:rPr>
          <w:rFonts w:ascii="Arial" w:hAnsi="Arial" w:cs="Arial"/>
          <w:b/>
          <w:color w:val="5B9BD5" w:themeColor="accent1"/>
          <w:sz w:val="22"/>
          <w:szCs w:val="22"/>
          <w:lang w:val="en-AU"/>
        </w:rPr>
      </w:pPr>
    </w:p>
    <w:p w14:paraId="6AEB04AD" w14:textId="5B0B613E" w:rsidR="009F3857" w:rsidRPr="0099722B" w:rsidRDefault="009F3857" w:rsidP="0099722B">
      <w:pPr>
        <w:pStyle w:val="ListParagraph"/>
        <w:widowControl w:val="0"/>
        <w:numPr>
          <w:ilvl w:val="0"/>
          <w:numId w:val="27"/>
        </w:numPr>
        <w:contextualSpacing w:val="0"/>
        <w:rPr>
          <w:rFonts w:ascii="Arial" w:hAnsi="Arial" w:cs="Arial"/>
          <w:b/>
          <w:color w:val="5B9BD5" w:themeColor="accent1"/>
          <w:sz w:val="24"/>
          <w:szCs w:val="24"/>
          <w:lang w:val="en-AU"/>
        </w:rPr>
      </w:pPr>
      <w:r w:rsidRPr="00F91325">
        <w:rPr>
          <w:rFonts w:ascii="Arial" w:hAnsi="Arial" w:cs="Arial"/>
          <w:b/>
          <w:color w:val="5B9BD5" w:themeColor="accent1"/>
          <w:sz w:val="24"/>
          <w:szCs w:val="24"/>
          <w:lang w:val="en-AU"/>
        </w:rPr>
        <w:t>Relevance of Proxy D</w:t>
      </w:r>
      <w:r w:rsidR="0099722B">
        <w:rPr>
          <w:rFonts w:ascii="Arial" w:hAnsi="Arial" w:cs="Arial"/>
          <w:b/>
          <w:color w:val="5B9BD5" w:themeColor="accent1"/>
          <w:sz w:val="24"/>
          <w:szCs w:val="24"/>
          <w:lang w:val="en-AU"/>
        </w:rPr>
        <w:t xml:space="preserve">: </w:t>
      </w:r>
      <w:r w:rsidR="0099722B" w:rsidRPr="0099722B">
        <w:rPr>
          <w:rFonts w:ascii="Arial" w:hAnsi="Arial" w:cs="Arial"/>
          <w:b/>
          <w:color w:val="5B9BD5" w:themeColor="accent1"/>
          <w:sz w:val="24"/>
          <w:szCs w:val="24"/>
          <w:lang w:val="en-AU"/>
        </w:rPr>
        <w:t>Allocation of financial resources to increase women’s ownership and control over land</w:t>
      </w:r>
      <w:r w:rsidR="00AD7F00">
        <w:rPr>
          <w:rFonts w:ascii="Arial" w:hAnsi="Arial" w:cs="Arial"/>
          <w:b/>
          <w:color w:val="5B9BD5" w:themeColor="accent1"/>
          <w:sz w:val="24"/>
          <w:szCs w:val="24"/>
          <w:lang w:val="en-AU"/>
        </w:rPr>
        <w:t xml:space="preserve"> in legislation or nation-wide programs/policies</w:t>
      </w:r>
    </w:p>
    <w:p w14:paraId="551F6026" w14:textId="77777777" w:rsidR="00C72AB3" w:rsidRPr="00937B6F" w:rsidRDefault="00C72AB3" w:rsidP="009F3857">
      <w:pPr>
        <w:widowControl w:val="0"/>
        <w:ind w:left="0" w:firstLine="0"/>
        <w:contextualSpacing w:val="0"/>
        <w:rPr>
          <w:rFonts w:ascii="Arial" w:hAnsi="Arial" w:cs="Arial"/>
          <w:b/>
          <w:color w:val="5B9BD5" w:themeColor="accent1"/>
          <w:sz w:val="24"/>
          <w:szCs w:val="24"/>
          <w:lang w:val="en-AU"/>
        </w:rPr>
      </w:pPr>
    </w:p>
    <w:p w14:paraId="2FB88306" w14:textId="24E2826D" w:rsidR="00720F4B" w:rsidRDefault="009F3857" w:rsidP="00915800">
      <w:pPr>
        <w:widowControl w:val="0"/>
        <w:ind w:left="0" w:firstLine="0"/>
        <w:contextualSpacing w:val="0"/>
        <w:rPr>
          <w:color w:val="000000" w:themeColor="text1"/>
          <w:lang w:val="en-GB"/>
        </w:rPr>
      </w:pPr>
      <w:r w:rsidRPr="00937B6F">
        <w:rPr>
          <w:rFonts w:ascii="Arial" w:hAnsi="Arial" w:cs="Arial"/>
          <w:color w:val="000000" w:themeColor="text1"/>
          <w:sz w:val="22"/>
          <w:szCs w:val="22"/>
          <w:lang w:val="en-AU"/>
        </w:rPr>
        <w:t xml:space="preserve">This proxy </w:t>
      </w:r>
      <w:r w:rsidR="00720F4B">
        <w:rPr>
          <w:rFonts w:ascii="Arial" w:hAnsi="Arial" w:cs="Arial"/>
          <w:color w:val="000000" w:themeColor="text1"/>
          <w:sz w:val="22"/>
          <w:szCs w:val="22"/>
          <w:lang w:val="en-AU"/>
        </w:rPr>
        <w:t xml:space="preserve">has been </w:t>
      </w:r>
      <w:r w:rsidR="005A1A5D">
        <w:rPr>
          <w:rFonts w:ascii="Arial" w:hAnsi="Arial" w:cs="Arial"/>
          <w:color w:val="000000" w:themeColor="text1"/>
          <w:sz w:val="22"/>
          <w:szCs w:val="22"/>
          <w:lang w:val="en-AU"/>
        </w:rPr>
        <w:t xml:space="preserve">included </w:t>
      </w:r>
      <w:r w:rsidR="00720F4B">
        <w:rPr>
          <w:rFonts w:ascii="Arial" w:hAnsi="Arial" w:cs="Arial"/>
          <w:color w:val="000000" w:themeColor="text1"/>
          <w:sz w:val="22"/>
          <w:szCs w:val="22"/>
          <w:lang w:val="en-AU"/>
        </w:rPr>
        <w:t>as</w:t>
      </w:r>
      <w:r w:rsidRPr="00937B6F">
        <w:rPr>
          <w:rFonts w:ascii="Arial" w:hAnsi="Arial" w:cs="Arial"/>
          <w:color w:val="000000" w:themeColor="text1"/>
          <w:sz w:val="22"/>
          <w:szCs w:val="22"/>
          <w:lang w:val="en-AU"/>
        </w:rPr>
        <w:t xml:space="preserve"> a “special measure” in t</w:t>
      </w:r>
      <w:r w:rsidR="00915800">
        <w:rPr>
          <w:rFonts w:ascii="Arial" w:hAnsi="Arial" w:cs="Arial"/>
          <w:color w:val="000000" w:themeColor="text1"/>
          <w:sz w:val="22"/>
          <w:szCs w:val="22"/>
          <w:lang w:val="en-AU"/>
        </w:rPr>
        <w:t>he spirit of Article 4 of CEDAW. It is</w:t>
      </w:r>
      <w:r w:rsidRPr="00937B6F">
        <w:rPr>
          <w:rFonts w:ascii="Arial" w:hAnsi="Arial" w:cs="Arial"/>
          <w:color w:val="000000" w:themeColor="text1"/>
          <w:sz w:val="22"/>
          <w:szCs w:val="22"/>
          <w:lang w:val="en-AU"/>
        </w:rPr>
        <w:t xml:space="preserve"> of crucial importance in certain jurisdictions in order to correct past and current forms of discrimination against women and accelerate the improvement of their position to achieve substantive equality</w:t>
      </w:r>
      <w:r w:rsidR="00720F4B">
        <w:rPr>
          <w:rFonts w:ascii="Arial" w:hAnsi="Arial" w:cs="Arial"/>
          <w:color w:val="000000" w:themeColor="text1"/>
          <w:sz w:val="22"/>
          <w:szCs w:val="22"/>
          <w:lang w:val="en-AU"/>
        </w:rPr>
        <w:t xml:space="preserve">. </w:t>
      </w:r>
      <w:r w:rsidR="00AD7F00">
        <w:rPr>
          <w:rFonts w:ascii="Arial" w:hAnsi="Arial" w:cs="Arial"/>
          <w:color w:val="000000" w:themeColor="text1"/>
          <w:sz w:val="22"/>
          <w:szCs w:val="22"/>
          <w:lang w:val="en-AU"/>
        </w:rPr>
        <w:t>T</w:t>
      </w:r>
      <w:r w:rsidR="00720F4B">
        <w:rPr>
          <w:rFonts w:ascii="Arial" w:hAnsi="Arial" w:cs="Arial"/>
          <w:color w:val="000000" w:themeColor="text1"/>
          <w:sz w:val="22"/>
          <w:szCs w:val="22"/>
          <w:lang w:val="en-AU"/>
        </w:rPr>
        <w:t xml:space="preserve">he CEDAW Committee, in its </w:t>
      </w:r>
      <w:r w:rsidR="00720F4B" w:rsidRPr="00720F4B">
        <w:rPr>
          <w:rFonts w:ascii="Arial" w:hAnsi="Arial" w:cs="Arial"/>
          <w:color w:val="000000" w:themeColor="text1"/>
          <w:sz w:val="22"/>
          <w:szCs w:val="22"/>
          <w:lang w:val="en-AU"/>
        </w:rPr>
        <w:t>General Recommendation 25</w:t>
      </w:r>
      <w:r w:rsidR="00720F4B">
        <w:rPr>
          <w:rFonts w:ascii="Arial" w:hAnsi="Arial" w:cs="Arial"/>
          <w:color w:val="000000" w:themeColor="text1"/>
          <w:sz w:val="22"/>
          <w:szCs w:val="22"/>
          <w:lang w:val="en-AU"/>
        </w:rPr>
        <w:t xml:space="preserve">, </w:t>
      </w:r>
      <w:r w:rsidR="00720F4B" w:rsidRPr="00720F4B">
        <w:rPr>
          <w:rFonts w:ascii="Arial" w:hAnsi="Arial" w:cs="Arial"/>
          <w:color w:val="000000" w:themeColor="text1"/>
          <w:sz w:val="22"/>
          <w:szCs w:val="22"/>
          <w:lang w:val="en-AU"/>
        </w:rPr>
        <w:t xml:space="preserve">mentions credit and loans as one of the areas that temporary special measures should target.  Equally, General Recommendation 34 </w:t>
      </w:r>
      <w:r w:rsidR="005A1A5D">
        <w:rPr>
          <w:rFonts w:ascii="Arial" w:hAnsi="Arial" w:cs="Arial"/>
          <w:color w:val="000000" w:themeColor="text1"/>
          <w:sz w:val="22"/>
          <w:szCs w:val="22"/>
          <w:lang w:val="en-AU"/>
        </w:rPr>
        <w:t>emphasises</w:t>
      </w:r>
      <w:r w:rsidR="005A1A5D" w:rsidRPr="00720F4B">
        <w:rPr>
          <w:rFonts w:ascii="Arial" w:hAnsi="Arial" w:cs="Arial"/>
          <w:color w:val="000000" w:themeColor="text1"/>
          <w:sz w:val="22"/>
          <w:szCs w:val="22"/>
          <w:lang w:val="en-AU"/>
        </w:rPr>
        <w:t xml:space="preserve"> </w:t>
      </w:r>
      <w:r w:rsidR="00720F4B" w:rsidRPr="00720F4B">
        <w:rPr>
          <w:rFonts w:ascii="Arial" w:hAnsi="Arial" w:cs="Arial"/>
          <w:color w:val="000000" w:themeColor="text1"/>
          <w:sz w:val="22"/>
          <w:szCs w:val="22"/>
          <w:lang w:val="en-AU"/>
        </w:rPr>
        <w:t>the importance of facilitating women’s access to, microcredit facilities, agricultural credits and loans</w:t>
      </w:r>
      <w:r w:rsidR="00122600">
        <w:rPr>
          <w:rStyle w:val="FootnoteReference"/>
          <w:rFonts w:ascii="Arial" w:hAnsi="Arial" w:cs="Arial"/>
          <w:color w:val="000000" w:themeColor="text1"/>
          <w:sz w:val="22"/>
          <w:szCs w:val="22"/>
          <w:lang w:val="en-AU"/>
        </w:rPr>
        <w:footnoteReference w:id="13"/>
      </w:r>
      <w:r w:rsidR="00720F4B" w:rsidRPr="00720F4B">
        <w:rPr>
          <w:rFonts w:ascii="Arial" w:hAnsi="Arial" w:cs="Arial"/>
          <w:color w:val="000000" w:themeColor="text1"/>
          <w:sz w:val="22"/>
          <w:szCs w:val="22"/>
          <w:lang w:val="en-AU"/>
        </w:rPr>
        <w:t xml:space="preserve">. </w:t>
      </w:r>
    </w:p>
    <w:p w14:paraId="54874243" w14:textId="77777777" w:rsidR="005671C7" w:rsidRPr="00A24AA3" w:rsidRDefault="005671C7" w:rsidP="00915800">
      <w:pPr>
        <w:widowControl w:val="0"/>
        <w:ind w:left="0" w:firstLine="0"/>
        <w:contextualSpacing w:val="0"/>
        <w:rPr>
          <w:rFonts w:ascii="Arial" w:hAnsi="Arial" w:cs="Arial"/>
          <w:color w:val="auto"/>
          <w:sz w:val="22"/>
          <w:szCs w:val="22"/>
          <w:lang w:val="en-AU"/>
        </w:rPr>
      </w:pPr>
    </w:p>
    <w:p w14:paraId="6405F04F" w14:textId="59E460A1" w:rsidR="00126B7A" w:rsidRPr="00A24AA3" w:rsidRDefault="00E61EA2" w:rsidP="00AE5C87">
      <w:pPr>
        <w:widowControl w:val="0"/>
        <w:ind w:left="0" w:firstLine="0"/>
        <w:contextualSpacing w:val="0"/>
        <w:rPr>
          <w:rFonts w:ascii="Arial" w:hAnsi="Arial" w:cs="Arial"/>
          <w:color w:val="auto"/>
          <w:sz w:val="22"/>
          <w:szCs w:val="22"/>
          <w:lang w:val="en-AU"/>
        </w:rPr>
      </w:pPr>
      <w:r w:rsidRPr="00A24AA3">
        <w:rPr>
          <w:rFonts w:ascii="Arial" w:hAnsi="Arial" w:cs="Arial"/>
          <w:color w:val="auto"/>
          <w:sz w:val="22"/>
          <w:szCs w:val="22"/>
          <w:lang w:val="en-AU"/>
        </w:rPr>
        <w:t>The methodology recogni</w:t>
      </w:r>
      <w:r w:rsidR="00AE5C87" w:rsidRPr="00A24AA3">
        <w:rPr>
          <w:rFonts w:ascii="Arial" w:hAnsi="Arial" w:cs="Arial"/>
          <w:color w:val="auto"/>
          <w:sz w:val="22"/>
          <w:szCs w:val="22"/>
          <w:lang w:val="en-AU"/>
        </w:rPr>
        <w:t>z</w:t>
      </w:r>
      <w:r w:rsidRPr="00A24AA3">
        <w:rPr>
          <w:rFonts w:ascii="Arial" w:hAnsi="Arial" w:cs="Arial"/>
          <w:color w:val="auto"/>
          <w:sz w:val="22"/>
          <w:szCs w:val="22"/>
          <w:lang w:val="en-AU"/>
        </w:rPr>
        <w:t>es that when c</w:t>
      </w:r>
      <w:r w:rsidR="00107D5B" w:rsidRPr="00A24AA3">
        <w:rPr>
          <w:rFonts w:ascii="Arial" w:hAnsi="Arial" w:cs="Arial"/>
          <w:color w:val="auto"/>
          <w:sz w:val="22"/>
          <w:szCs w:val="22"/>
          <w:lang w:val="en-AU"/>
        </w:rPr>
        <w:t>ountries</w:t>
      </w:r>
      <w:r w:rsidR="00AE5C87" w:rsidRPr="00A24AA3">
        <w:rPr>
          <w:rFonts w:ascii="Arial" w:hAnsi="Arial" w:cs="Arial"/>
          <w:color w:val="auto"/>
          <w:sz w:val="22"/>
          <w:szCs w:val="22"/>
          <w:lang w:val="en-AU"/>
        </w:rPr>
        <w:t xml:space="preserve">, both developed and developing, </w:t>
      </w:r>
      <w:r w:rsidR="00107D5B" w:rsidRPr="00A24AA3">
        <w:rPr>
          <w:rFonts w:ascii="Arial" w:hAnsi="Arial" w:cs="Arial"/>
          <w:color w:val="auto"/>
          <w:sz w:val="22"/>
          <w:szCs w:val="22"/>
          <w:lang w:val="en-AU"/>
        </w:rPr>
        <w:t xml:space="preserve">have already achieved gender equality in </w:t>
      </w:r>
      <w:r w:rsidR="008F62CF" w:rsidRPr="00A24AA3">
        <w:rPr>
          <w:rFonts w:ascii="Arial" w:hAnsi="Arial" w:cs="Arial"/>
          <w:color w:val="auto"/>
          <w:sz w:val="22"/>
          <w:szCs w:val="22"/>
          <w:lang w:val="en-AU"/>
        </w:rPr>
        <w:t>land ownership or in access and control of productive resources, including land</w:t>
      </w:r>
      <w:r w:rsidR="00AE5C87" w:rsidRPr="00A24AA3">
        <w:rPr>
          <w:rFonts w:ascii="Arial" w:hAnsi="Arial" w:cs="Arial"/>
          <w:color w:val="auto"/>
          <w:sz w:val="22"/>
          <w:szCs w:val="22"/>
          <w:lang w:val="en-AU"/>
        </w:rPr>
        <w:t>,</w:t>
      </w:r>
      <w:r w:rsidRPr="00A24AA3">
        <w:rPr>
          <w:rFonts w:ascii="Arial" w:hAnsi="Arial" w:cs="Arial"/>
          <w:color w:val="auto"/>
          <w:sz w:val="22"/>
          <w:szCs w:val="22"/>
          <w:lang w:val="en-AU"/>
        </w:rPr>
        <w:t xml:space="preserve"> </w:t>
      </w:r>
      <w:r w:rsidR="00AE5C87" w:rsidRPr="00A24AA3">
        <w:rPr>
          <w:rFonts w:ascii="Arial" w:hAnsi="Arial" w:cs="Arial"/>
          <w:color w:val="auto"/>
          <w:sz w:val="22"/>
          <w:szCs w:val="22"/>
          <w:lang w:val="en-AU"/>
        </w:rPr>
        <w:t xml:space="preserve">there is </w:t>
      </w:r>
      <w:r w:rsidR="00A24AA3" w:rsidRPr="00A24AA3">
        <w:rPr>
          <w:rFonts w:ascii="Arial" w:hAnsi="Arial" w:cs="Arial"/>
          <w:color w:val="auto"/>
          <w:sz w:val="22"/>
          <w:szCs w:val="22"/>
          <w:lang w:val="en-AU"/>
        </w:rPr>
        <w:t>no</w:t>
      </w:r>
      <w:r w:rsidR="005671C7" w:rsidRPr="00A24AA3">
        <w:rPr>
          <w:rFonts w:ascii="Arial" w:hAnsi="Arial" w:cs="Arial"/>
          <w:color w:val="auto"/>
          <w:sz w:val="22"/>
          <w:szCs w:val="22"/>
          <w:lang w:val="en-AU"/>
        </w:rPr>
        <w:t xml:space="preserve"> </w:t>
      </w:r>
      <w:r w:rsidR="008F62CF" w:rsidRPr="00A24AA3">
        <w:rPr>
          <w:rFonts w:ascii="Arial" w:hAnsi="Arial" w:cs="Arial"/>
          <w:color w:val="auto"/>
          <w:sz w:val="22"/>
          <w:szCs w:val="22"/>
          <w:lang w:val="en-AU"/>
        </w:rPr>
        <w:t xml:space="preserve">need to adopt </w:t>
      </w:r>
      <w:r w:rsidR="00583F3E" w:rsidRPr="00A24AA3">
        <w:rPr>
          <w:rFonts w:ascii="Arial" w:hAnsi="Arial" w:cs="Arial"/>
          <w:color w:val="auto"/>
          <w:sz w:val="22"/>
          <w:szCs w:val="22"/>
          <w:lang w:val="en-AU"/>
        </w:rPr>
        <w:t xml:space="preserve">special </w:t>
      </w:r>
      <w:r w:rsidR="00AD7F00">
        <w:rPr>
          <w:rFonts w:ascii="Arial" w:hAnsi="Arial" w:cs="Arial"/>
          <w:color w:val="auto"/>
          <w:sz w:val="22"/>
          <w:szCs w:val="22"/>
          <w:lang w:val="en-AU"/>
        </w:rPr>
        <w:t xml:space="preserve">legal </w:t>
      </w:r>
      <w:r w:rsidR="00583F3E" w:rsidRPr="00A24AA3">
        <w:rPr>
          <w:rFonts w:ascii="Arial" w:hAnsi="Arial" w:cs="Arial"/>
          <w:color w:val="auto"/>
          <w:sz w:val="22"/>
          <w:szCs w:val="22"/>
          <w:lang w:val="en-AU"/>
        </w:rPr>
        <w:t xml:space="preserve">measures </w:t>
      </w:r>
      <w:r w:rsidR="00AD7F00">
        <w:rPr>
          <w:rFonts w:ascii="Arial" w:hAnsi="Arial" w:cs="Arial"/>
          <w:color w:val="auto"/>
          <w:sz w:val="22"/>
          <w:szCs w:val="22"/>
          <w:lang w:val="en-AU"/>
        </w:rPr>
        <w:t>or policies</w:t>
      </w:r>
      <w:r w:rsidR="00583F3E" w:rsidRPr="00A24AA3">
        <w:rPr>
          <w:rFonts w:ascii="Arial" w:hAnsi="Arial" w:cs="Arial"/>
          <w:color w:val="auto"/>
          <w:sz w:val="22"/>
          <w:szCs w:val="22"/>
          <w:lang w:val="en-AU"/>
        </w:rPr>
        <w:t xml:space="preserve"> </w:t>
      </w:r>
      <w:r w:rsidR="00AE5C87" w:rsidRPr="00A24AA3">
        <w:rPr>
          <w:rFonts w:ascii="Arial" w:hAnsi="Arial" w:cs="Arial"/>
          <w:color w:val="auto"/>
          <w:sz w:val="22"/>
          <w:szCs w:val="22"/>
          <w:lang w:val="en-AU"/>
        </w:rPr>
        <w:t xml:space="preserve">for </w:t>
      </w:r>
      <w:r w:rsidR="00583F3E" w:rsidRPr="00A24AA3">
        <w:rPr>
          <w:rFonts w:ascii="Arial" w:hAnsi="Arial" w:cs="Arial"/>
          <w:color w:val="auto"/>
          <w:sz w:val="22"/>
          <w:szCs w:val="22"/>
          <w:lang w:val="en-AU"/>
        </w:rPr>
        <w:t xml:space="preserve">promoting </w:t>
      </w:r>
      <w:r w:rsidR="00AE5C87" w:rsidRPr="00A24AA3">
        <w:rPr>
          <w:rFonts w:ascii="Arial" w:hAnsi="Arial" w:cs="Arial"/>
          <w:color w:val="auto"/>
          <w:sz w:val="22"/>
          <w:szCs w:val="22"/>
          <w:lang w:val="en-AU"/>
        </w:rPr>
        <w:t>the allocation of financial resources for increasing women’s land ownership or control and/or access and control to productive resources</w:t>
      </w:r>
      <w:r w:rsidR="00F91325" w:rsidRPr="00A24AA3">
        <w:rPr>
          <w:rFonts w:ascii="Arial" w:hAnsi="Arial" w:cs="Arial"/>
          <w:color w:val="auto"/>
          <w:sz w:val="22"/>
          <w:szCs w:val="22"/>
          <w:lang w:val="en-AU"/>
        </w:rPr>
        <w:t xml:space="preserve">. This is because </w:t>
      </w:r>
      <w:r w:rsidR="008F62CF" w:rsidRPr="00A24AA3">
        <w:rPr>
          <w:rFonts w:ascii="Arial" w:hAnsi="Arial" w:cs="Arial"/>
          <w:color w:val="auto"/>
          <w:sz w:val="22"/>
          <w:szCs w:val="22"/>
          <w:lang w:val="en-AU"/>
        </w:rPr>
        <w:t xml:space="preserve">special measures </w:t>
      </w:r>
      <w:r w:rsidR="00AE5C87" w:rsidRPr="00A24AA3">
        <w:rPr>
          <w:rFonts w:ascii="Arial" w:hAnsi="Arial" w:cs="Arial"/>
          <w:color w:val="auto"/>
          <w:sz w:val="22"/>
          <w:szCs w:val="22"/>
          <w:lang w:val="en-AU"/>
        </w:rPr>
        <w:t xml:space="preserve">are </w:t>
      </w:r>
      <w:r w:rsidR="00F91325" w:rsidRPr="00A24AA3">
        <w:rPr>
          <w:rFonts w:ascii="Arial" w:hAnsi="Arial" w:cs="Arial"/>
          <w:color w:val="auto"/>
          <w:sz w:val="22"/>
          <w:szCs w:val="22"/>
          <w:lang w:val="en-AU"/>
        </w:rPr>
        <w:t>meant</w:t>
      </w:r>
      <w:r w:rsidR="005671C7" w:rsidRPr="00A24AA3">
        <w:rPr>
          <w:rFonts w:ascii="Arial" w:hAnsi="Arial" w:cs="Arial"/>
          <w:color w:val="auto"/>
          <w:sz w:val="22"/>
          <w:szCs w:val="22"/>
          <w:lang w:val="en-AU"/>
        </w:rPr>
        <w:t xml:space="preserve"> to </w:t>
      </w:r>
      <w:r w:rsidR="00F91325" w:rsidRPr="00A24AA3">
        <w:rPr>
          <w:rFonts w:ascii="Arial" w:hAnsi="Arial" w:cs="Arial"/>
          <w:color w:val="auto"/>
          <w:sz w:val="22"/>
          <w:szCs w:val="22"/>
          <w:lang w:val="en-AU"/>
        </w:rPr>
        <w:t>redress existing inequalities</w:t>
      </w:r>
      <w:r w:rsidR="005671C7" w:rsidRPr="00A24AA3">
        <w:rPr>
          <w:rFonts w:ascii="Arial" w:hAnsi="Arial" w:cs="Arial"/>
          <w:color w:val="auto"/>
          <w:sz w:val="22"/>
          <w:szCs w:val="22"/>
          <w:lang w:val="en-AU"/>
        </w:rPr>
        <w:t>.</w:t>
      </w:r>
      <w:r w:rsidR="0080685D">
        <w:rPr>
          <w:rFonts w:ascii="Arial" w:hAnsi="Arial" w:cs="Arial"/>
          <w:color w:val="auto"/>
          <w:sz w:val="22"/>
          <w:szCs w:val="22"/>
          <w:lang w:val="en-AU"/>
        </w:rPr>
        <w:t xml:space="preserve"> </w:t>
      </w:r>
    </w:p>
    <w:p w14:paraId="28274C5E" w14:textId="77777777" w:rsidR="000D43C1" w:rsidRPr="007C59F1" w:rsidRDefault="000D43C1" w:rsidP="000D43C1">
      <w:pPr>
        <w:widowControl w:val="0"/>
        <w:ind w:left="0" w:firstLine="0"/>
        <w:contextualSpacing w:val="0"/>
        <w:rPr>
          <w:rFonts w:ascii="Arial" w:hAnsi="Arial" w:cs="Arial"/>
          <w:color w:val="000000" w:themeColor="text1"/>
          <w:sz w:val="22"/>
          <w:szCs w:val="22"/>
          <w:lang w:val="en-AU"/>
        </w:rPr>
      </w:pPr>
    </w:p>
    <w:p w14:paraId="33BC448B" w14:textId="7DD573EA" w:rsidR="000D43C1" w:rsidRPr="007C59F1" w:rsidRDefault="000D43C1" w:rsidP="000D43C1">
      <w:pPr>
        <w:widowControl w:val="0"/>
        <w:ind w:left="0" w:firstLine="0"/>
        <w:contextualSpacing w:val="0"/>
        <w:rPr>
          <w:rFonts w:ascii="Arial" w:hAnsi="Arial" w:cs="Arial"/>
          <w:color w:val="000000" w:themeColor="text1"/>
          <w:sz w:val="22"/>
          <w:szCs w:val="22"/>
          <w:lang w:val="en-AU"/>
        </w:rPr>
      </w:pPr>
      <w:r w:rsidRPr="007C59F1">
        <w:rPr>
          <w:rFonts w:ascii="Arial" w:hAnsi="Arial" w:cs="Arial"/>
          <w:color w:val="000000" w:themeColor="text1"/>
          <w:sz w:val="22"/>
          <w:szCs w:val="22"/>
          <w:lang w:val="en-AU"/>
        </w:rPr>
        <w:t xml:space="preserve">Coherently with the </w:t>
      </w:r>
      <w:r w:rsidR="00472187" w:rsidRPr="007C59F1">
        <w:rPr>
          <w:rFonts w:ascii="Arial" w:hAnsi="Arial" w:cs="Arial"/>
          <w:color w:val="000000" w:themeColor="text1"/>
          <w:sz w:val="22"/>
          <w:szCs w:val="22"/>
          <w:lang w:val="en-AU"/>
        </w:rPr>
        <w:t xml:space="preserve">conditional </w:t>
      </w:r>
      <w:r w:rsidRPr="007C59F1">
        <w:rPr>
          <w:rFonts w:ascii="Arial" w:hAnsi="Arial" w:cs="Arial"/>
          <w:color w:val="000000" w:themeColor="text1"/>
          <w:sz w:val="22"/>
          <w:szCs w:val="22"/>
          <w:lang w:val="en-AU"/>
        </w:rPr>
        <w:t xml:space="preserve">nature of this proxy, countries that </w:t>
      </w:r>
      <w:r w:rsidR="00472187" w:rsidRPr="007C59F1">
        <w:rPr>
          <w:rFonts w:ascii="Arial" w:hAnsi="Arial" w:cs="Arial"/>
          <w:color w:val="000000" w:themeColor="text1"/>
          <w:sz w:val="22"/>
          <w:szCs w:val="22"/>
          <w:lang w:val="en-AU"/>
        </w:rPr>
        <w:t xml:space="preserve">can demonstrate the achievement of gender equality in terms of land ownership, </w:t>
      </w:r>
      <w:r w:rsidRPr="007C59F1">
        <w:rPr>
          <w:rFonts w:ascii="Arial" w:hAnsi="Arial" w:cs="Arial"/>
          <w:color w:val="000000" w:themeColor="text1"/>
          <w:sz w:val="22"/>
          <w:szCs w:val="22"/>
          <w:lang w:val="en-AU"/>
        </w:rPr>
        <w:t xml:space="preserve">do not </w:t>
      </w:r>
      <w:r w:rsidR="00472187" w:rsidRPr="007C59F1">
        <w:rPr>
          <w:rFonts w:ascii="Arial" w:hAnsi="Arial" w:cs="Arial"/>
          <w:color w:val="000000" w:themeColor="text1"/>
          <w:sz w:val="22"/>
          <w:szCs w:val="22"/>
          <w:lang w:val="en-AU"/>
        </w:rPr>
        <w:t>need to report on the adoption of</w:t>
      </w:r>
      <w:r w:rsidRPr="007C59F1">
        <w:rPr>
          <w:rFonts w:ascii="Arial" w:hAnsi="Arial" w:cs="Arial"/>
          <w:color w:val="000000" w:themeColor="text1"/>
          <w:sz w:val="22"/>
          <w:szCs w:val="22"/>
          <w:lang w:val="en-AU"/>
        </w:rPr>
        <w:t xml:space="preserve"> such </w:t>
      </w:r>
      <w:r w:rsidR="00472187" w:rsidRPr="007C59F1">
        <w:rPr>
          <w:rFonts w:ascii="Arial" w:hAnsi="Arial" w:cs="Arial"/>
          <w:color w:val="000000" w:themeColor="text1"/>
          <w:sz w:val="22"/>
          <w:szCs w:val="22"/>
          <w:lang w:val="en-AU"/>
        </w:rPr>
        <w:t>measures</w:t>
      </w:r>
      <w:r w:rsidRPr="007C59F1">
        <w:rPr>
          <w:rFonts w:ascii="Arial" w:hAnsi="Arial" w:cs="Arial"/>
          <w:color w:val="000000" w:themeColor="text1"/>
          <w:sz w:val="22"/>
          <w:szCs w:val="22"/>
          <w:lang w:val="en-AU"/>
        </w:rPr>
        <w:t xml:space="preserve">. It will be acceptable that the percentage of women land owners </w:t>
      </w:r>
      <w:r w:rsidR="00472187" w:rsidRPr="007C59F1">
        <w:rPr>
          <w:rFonts w:ascii="Arial" w:hAnsi="Arial" w:cs="Arial"/>
          <w:color w:val="000000" w:themeColor="text1"/>
          <w:sz w:val="22"/>
          <w:szCs w:val="22"/>
          <w:lang w:val="en-AU"/>
        </w:rPr>
        <w:t>(</w:t>
      </w:r>
      <w:r w:rsidR="007C59F1">
        <w:rPr>
          <w:rFonts w:ascii="Arial" w:hAnsi="Arial" w:cs="Arial"/>
          <w:color w:val="000000" w:themeColor="text1"/>
          <w:sz w:val="22"/>
          <w:szCs w:val="22"/>
          <w:lang w:val="en-AU"/>
        </w:rPr>
        <w:t xml:space="preserve">according to </w:t>
      </w:r>
      <w:r w:rsidR="00472187" w:rsidRPr="007C59F1">
        <w:rPr>
          <w:rFonts w:ascii="Arial" w:hAnsi="Arial" w:cs="Arial"/>
          <w:color w:val="000000" w:themeColor="text1"/>
          <w:sz w:val="22"/>
          <w:szCs w:val="22"/>
          <w:lang w:val="en-AU"/>
        </w:rPr>
        <w:t xml:space="preserve">SDG </w:t>
      </w:r>
      <w:r w:rsidR="007C59F1">
        <w:rPr>
          <w:rFonts w:ascii="Arial" w:hAnsi="Arial" w:cs="Arial"/>
          <w:color w:val="000000" w:themeColor="text1"/>
          <w:sz w:val="22"/>
          <w:szCs w:val="22"/>
          <w:lang w:val="en-AU"/>
        </w:rPr>
        <w:t xml:space="preserve">indicator </w:t>
      </w:r>
      <w:r w:rsidR="007C59F1" w:rsidRPr="007C59F1">
        <w:rPr>
          <w:rFonts w:ascii="Arial" w:hAnsi="Arial" w:cs="Arial"/>
          <w:color w:val="000000" w:themeColor="text1"/>
          <w:sz w:val="22"/>
          <w:szCs w:val="22"/>
          <w:lang w:val="en-AU"/>
        </w:rPr>
        <w:t xml:space="preserve">1.4.2 or </w:t>
      </w:r>
      <w:r w:rsidR="00472187" w:rsidRPr="007C59F1">
        <w:rPr>
          <w:rFonts w:ascii="Arial" w:hAnsi="Arial" w:cs="Arial"/>
          <w:color w:val="000000" w:themeColor="text1"/>
          <w:sz w:val="22"/>
          <w:szCs w:val="22"/>
          <w:lang w:val="en-AU"/>
        </w:rPr>
        <w:t xml:space="preserve">5.a.1) </w:t>
      </w:r>
      <w:r w:rsidRPr="007C59F1">
        <w:rPr>
          <w:rFonts w:ascii="Arial" w:hAnsi="Arial" w:cs="Arial"/>
          <w:color w:val="000000" w:themeColor="text1"/>
          <w:sz w:val="22"/>
          <w:szCs w:val="22"/>
          <w:lang w:val="en-AU"/>
        </w:rPr>
        <w:t>is equal to or greater than 40%</w:t>
      </w:r>
      <w:r w:rsidR="007C59F1">
        <w:rPr>
          <w:rFonts w:ascii="Arial" w:hAnsi="Arial" w:cs="Arial"/>
          <w:color w:val="000000" w:themeColor="text1"/>
          <w:sz w:val="22"/>
          <w:szCs w:val="22"/>
          <w:lang w:val="en-AU"/>
        </w:rPr>
        <w:t>.</w:t>
      </w:r>
      <w:r w:rsidRPr="007C59F1">
        <w:rPr>
          <w:rFonts w:ascii="Arial" w:hAnsi="Arial" w:cs="Arial"/>
          <w:color w:val="000000" w:themeColor="text1"/>
          <w:sz w:val="22"/>
          <w:szCs w:val="22"/>
          <w:lang w:val="en-AU"/>
        </w:rPr>
        <w:t xml:space="preserve"> </w:t>
      </w:r>
    </w:p>
    <w:p w14:paraId="164ECB8D" w14:textId="77777777" w:rsidR="005A1A5D" w:rsidRDefault="005A1A5D" w:rsidP="00915800">
      <w:pPr>
        <w:widowControl w:val="0"/>
        <w:ind w:left="0" w:firstLine="0"/>
        <w:contextualSpacing w:val="0"/>
        <w:rPr>
          <w:rFonts w:ascii="Arial" w:hAnsi="Arial" w:cs="Arial"/>
          <w:color w:val="000000" w:themeColor="text1"/>
          <w:sz w:val="22"/>
          <w:szCs w:val="22"/>
          <w:lang w:val="en-AU"/>
        </w:rPr>
      </w:pPr>
    </w:p>
    <w:p w14:paraId="67E3ACF2" w14:textId="1A6638E0" w:rsidR="0063176D" w:rsidRPr="006A4EE9" w:rsidRDefault="00915800" w:rsidP="006A4EE9">
      <w:pPr>
        <w:pStyle w:val="ListParagraph"/>
        <w:widowControl w:val="0"/>
        <w:numPr>
          <w:ilvl w:val="0"/>
          <w:numId w:val="27"/>
        </w:numPr>
        <w:contextualSpacing w:val="0"/>
        <w:rPr>
          <w:rFonts w:ascii="Arial" w:hAnsi="Arial" w:cs="Arial"/>
          <w:b/>
          <w:color w:val="5B9BD5" w:themeColor="accent1"/>
          <w:sz w:val="24"/>
          <w:szCs w:val="24"/>
          <w:lang w:val="en-AU"/>
        </w:rPr>
      </w:pPr>
      <w:r w:rsidRPr="00F91325">
        <w:rPr>
          <w:rFonts w:ascii="Arial" w:hAnsi="Arial" w:cs="Arial"/>
          <w:b/>
          <w:color w:val="5B9BD5" w:themeColor="accent1"/>
          <w:sz w:val="24"/>
          <w:szCs w:val="24"/>
          <w:lang w:val="en-AU"/>
        </w:rPr>
        <w:t>R</w:t>
      </w:r>
      <w:r w:rsidR="009F3857" w:rsidRPr="00F91325">
        <w:rPr>
          <w:rFonts w:ascii="Arial" w:hAnsi="Arial" w:cs="Arial"/>
          <w:b/>
          <w:color w:val="5B9BD5" w:themeColor="accent1"/>
          <w:sz w:val="24"/>
          <w:szCs w:val="24"/>
          <w:lang w:val="en-AU"/>
        </w:rPr>
        <w:t>elevance of Proxy</w:t>
      </w:r>
      <w:r w:rsidR="008E28A0" w:rsidRPr="00F91325">
        <w:rPr>
          <w:rFonts w:ascii="Arial" w:hAnsi="Arial" w:cs="Arial"/>
          <w:b/>
          <w:color w:val="5B9BD5" w:themeColor="accent1"/>
          <w:sz w:val="24"/>
          <w:szCs w:val="24"/>
          <w:lang w:val="en-AU"/>
        </w:rPr>
        <w:t xml:space="preserve"> F</w:t>
      </w:r>
      <w:r w:rsidR="006A4EE9">
        <w:rPr>
          <w:rFonts w:ascii="Arial" w:hAnsi="Arial" w:cs="Arial"/>
          <w:b/>
          <w:color w:val="5B9BD5" w:themeColor="accent1"/>
          <w:sz w:val="24"/>
          <w:szCs w:val="24"/>
          <w:lang w:val="en-AU"/>
        </w:rPr>
        <w:t xml:space="preserve">: </w:t>
      </w:r>
      <w:r w:rsidR="006A4EE9" w:rsidRPr="006A4EE9">
        <w:rPr>
          <w:rFonts w:ascii="Arial" w:hAnsi="Arial" w:cs="Arial"/>
          <w:b/>
          <w:color w:val="5B9BD5" w:themeColor="accent1"/>
          <w:sz w:val="24"/>
          <w:szCs w:val="24"/>
          <w:lang w:val="en-AU"/>
        </w:rPr>
        <w:t>Mandatory quotas for women’s participation in land management and administration institutions</w:t>
      </w:r>
    </w:p>
    <w:p w14:paraId="246EC01E" w14:textId="77777777" w:rsidR="00A116AB" w:rsidRPr="006A4EE9" w:rsidRDefault="00A116AB" w:rsidP="00FF605C">
      <w:pPr>
        <w:widowControl w:val="0"/>
        <w:ind w:left="0" w:firstLine="0"/>
        <w:contextualSpacing w:val="0"/>
        <w:rPr>
          <w:rFonts w:ascii="Arial" w:hAnsi="Arial" w:cs="Arial"/>
          <w:color w:val="000000" w:themeColor="text1"/>
          <w:sz w:val="22"/>
          <w:szCs w:val="22"/>
          <w:lang w:val="en-AU"/>
        </w:rPr>
      </w:pPr>
    </w:p>
    <w:p w14:paraId="47CD1092" w14:textId="77777777" w:rsidR="00A116AB" w:rsidRPr="006E1245" w:rsidRDefault="00A116AB" w:rsidP="00A116AB">
      <w:pPr>
        <w:pStyle w:val="ListParagraph"/>
        <w:ind w:left="0" w:firstLine="0"/>
        <w:rPr>
          <w:rFonts w:ascii="Arial" w:eastAsiaTheme="minorHAnsi" w:hAnsi="Arial" w:cs="Arial"/>
          <w:color w:val="auto"/>
          <w:sz w:val="22"/>
          <w:szCs w:val="22"/>
          <w:lang w:val="en-AU"/>
        </w:rPr>
      </w:pPr>
      <w:r>
        <w:rPr>
          <w:rFonts w:ascii="Arial" w:eastAsiaTheme="minorHAnsi" w:hAnsi="Arial" w:cs="Arial"/>
          <w:color w:val="auto"/>
          <w:sz w:val="22"/>
          <w:szCs w:val="22"/>
          <w:lang w:val="en-AU"/>
        </w:rPr>
        <w:t xml:space="preserve">The reason </w:t>
      </w:r>
      <w:r w:rsidR="00D83B68">
        <w:rPr>
          <w:rFonts w:ascii="Arial" w:eastAsiaTheme="minorHAnsi" w:hAnsi="Arial" w:cs="Arial"/>
          <w:color w:val="auto"/>
          <w:sz w:val="22"/>
          <w:szCs w:val="22"/>
          <w:lang w:val="en-AU"/>
        </w:rPr>
        <w:t>why</w:t>
      </w:r>
      <w:r>
        <w:rPr>
          <w:rFonts w:ascii="Arial" w:eastAsiaTheme="minorHAnsi" w:hAnsi="Arial" w:cs="Arial"/>
          <w:color w:val="auto"/>
          <w:sz w:val="22"/>
          <w:szCs w:val="22"/>
          <w:lang w:val="en-AU"/>
        </w:rPr>
        <w:t xml:space="preserve"> Proxy F has been broadly construed under this methodology, is because generally, data shows that the more women</w:t>
      </w:r>
      <w:r w:rsidR="004E0F72">
        <w:rPr>
          <w:rFonts w:ascii="Arial" w:eastAsiaTheme="minorHAnsi" w:hAnsi="Arial" w:cs="Arial"/>
          <w:color w:val="auto"/>
          <w:sz w:val="22"/>
          <w:szCs w:val="22"/>
          <w:lang w:val="en-AU"/>
        </w:rPr>
        <w:t xml:space="preserve"> are involved</w:t>
      </w:r>
      <w:r>
        <w:rPr>
          <w:rFonts w:ascii="Arial" w:eastAsiaTheme="minorHAnsi" w:hAnsi="Arial" w:cs="Arial"/>
          <w:color w:val="auto"/>
          <w:sz w:val="22"/>
          <w:szCs w:val="22"/>
          <w:lang w:val="en-AU"/>
        </w:rPr>
        <w:t xml:space="preserve"> in government decision-making positions, the more positive outcomes will be in all spheres of economic, social and life, including in access to and control over land. Legal reforms to support women’s equal participation in governance therefore indirectly support women’s access to and control over land.  </w:t>
      </w:r>
    </w:p>
    <w:p w14:paraId="21018A6E" w14:textId="77777777" w:rsidR="00A116AB" w:rsidRPr="00A116AB" w:rsidRDefault="00A116AB" w:rsidP="00FF605C">
      <w:pPr>
        <w:widowControl w:val="0"/>
        <w:ind w:left="0" w:firstLine="0"/>
        <w:contextualSpacing w:val="0"/>
        <w:rPr>
          <w:rFonts w:ascii="Arial" w:hAnsi="Arial" w:cs="Arial"/>
          <w:color w:val="000000" w:themeColor="text1"/>
          <w:sz w:val="22"/>
          <w:szCs w:val="22"/>
          <w:lang w:val="en-AU"/>
        </w:rPr>
      </w:pPr>
    </w:p>
    <w:p w14:paraId="53286C2F" w14:textId="77777777" w:rsidR="00FF605C" w:rsidRDefault="00FF605C" w:rsidP="00FF605C">
      <w:pPr>
        <w:widowControl w:val="0"/>
        <w:ind w:left="0" w:firstLine="0"/>
        <w:contextualSpacing w:val="0"/>
        <w:rPr>
          <w:rFonts w:ascii="Arial" w:hAnsi="Arial" w:cs="Arial"/>
          <w:color w:val="000000" w:themeColor="text1"/>
          <w:sz w:val="22"/>
          <w:szCs w:val="22"/>
          <w:lang w:val="en-GB"/>
        </w:rPr>
      </w:pPr>
      <w:r>
        <w:rPr>
          <w:rFonts w:ascii="Arial" w:hAnsi="Arial" w:cs="Arial"/>
          <w:color w:val="000000" w:themeColor="text1"/>
          <w:sz w:val="22"/>
          <w:szCs w:val="22"/>
        </w:rPr>
        <w:lastRenderedPageBreak/>
        <w:t xml:space="preserve">Legal provisions providing for </w:t>
      </w:r>
      <w:r w:rsidR="005A1A5D">
        <w:rPr>
          <w:rFonts w:ascii="Arial" w:hAnsi="Arial" w:cs="Arial"/>
          <w:color w:val="000000" w:themeColor="text1"/>
          <w:sz w:val="22"/>
          <w:szCs w:val="22"/>
        </w:rPr>
        <w:t xml:space="preserve">women’s </w:t>
      </w:r>
      <w:r>
        <w:rPr>
          <w:rFonts w:ascii="Arial" w:hAnsi="Arial" w:cs="Arial"/>
          <w:color w:val="000000" w:themeColor="text1"/>
          <w:sz w:val="22"/>
          <w:szCs w:val="22"/>
        </w:rPr>
        <w:t>mandatory participation in institution</w:t>
      </w:r>
      <w:r w:rsidR="005A1A5D">
        <w:rPr>
          <w:rFonts w:ascii="Arial" w:hAnsi="Arial" w:cs="Arial"/>
          <w:color w:val="000000" w:themeColor="text1"/>
          <w:sz w:val="22"/>
          <w:szCs w:val="22"/>
        </w:rPr>
        <w:t>s</w:t>
      </w:r>
      <w:r>
        <w:rPr>
          <w:rFonts w:ascii="Arial" w:hAnsi="Arial" w:cs="Arial"/>
          <w:color w:val="000000" w:themeColor="text1"/>
          <w:sz w:val="22"/>
          <w:szCs w:val="22"/>
        </w:rPr>
        <w:t xml:space="preserve"> responsible for land matters</w:t>
      </w:r>
      <w:r w:rsidRPr="00B4270F">
        <w:rPr>
          <w:rFonts w:ascii="Arial" w:hAnsi="Arial" w:cs="Arial"/>
          <w:color w:val="000000" w:themeColor="text1"/>
          <w:sz w:val="22"/>
          <w:szCs w:val="22"/>
        </w:rPr>
        <w:t xml:space="preserve"> </w:t>
      </w:r>
      <w:r>
        <w:rPr>
          <w:rFonts w:ascii="Arial" w:hAnsi="Arial" w:cs="Arial"/>
          <w:color w:val="000000" w:themeColor="text1"/>
          <w:sz w:val="22"/>
          <w:szCs w:val="22"/>
        </w:rPr>
        <w:t xml:space="preserve">contribute to the </w:t>
      </w:r>
      <w:r>
        <w:rPr>
          <w:rFonts w:ascii="Arial" w:hAnsi="Arial" w:cs="Arial"/>
          <w:i/>
          <w:color w:val="000000" w:themeColor="text1"/>
          <w:sz w:val="22"/>
          <w:szCs w:val="22"/>
        </w:rPr>
        <w:t>protection and</w:t>
      </w:r>
      <w:r>
        <w:rPr>
          <w:rFonts w:ascii="Arial" w:hAnsi="Arial" w:cs="Arial"/>
          <w:color w:val="000000" w:themeColor="text1"/>
          <w:sz w:val="22"/>
          <w:szCs w:val="22"/>
        </w:rPr>
        <w:t xml:space="preserve"> </w:t>
      </w:r>
      <w:r w:rsidRPr="007909E0">
        <w:rPr>
          <w:rFonts w:ascii="Arial" w:hAnsi="Arial" w:cs="Arial"/>
          <w:i/>
          <w:color w:val="000000" w:themeColor="text1"/>
          <w:sz w:val="22"/>
          <w:szCs w:val="22"/>
        </w:rPr>
        <w:t>advancement</w:t>
      </w:r>
      <w:r>
        <w:rPr>
          <w:rFonts w:ascii="Arial" w:hAnsi="Arial" w:cs="Arial"/>
          <w:color w:val="000000" w:themeColor="text1"/>
          <w:sz w:val="22"/>
          <w:szCs w:val="22"/>
        </w:rPr>
        <w:t xml:space="preserve"> of</w:t>
      </w:r>
      <w:r w:rsidRPr="00B4270F">
        <w:rPr>
          <w:rFonts w:ascii="Arial" w:hAnsi="Arial" w:cs="Arial"/>
          <w:color w:val="000000" w:themeColor="text1"/>
          <w:sz w:val="22"/>
          <w:szCs w:val="22"/>
        </w:rPr>
        <w:t xml:space="preserve"> women’s land rights</w:t>
      </w:r>
      <w:r>
        <w:rPr>
          <w:rFonts w:ascii="Arial" w:hAnsi="Arial" w:cs="Arial"/>
          <w:color w:val="000000" w:themeColor="text1"/>
          <w:sz w:val="22"/>
          <w:szCs w:val="22"/>
        </w:rPr>
        <w:t>, regardless of a country’s level of economic development</w:t>
      </w:r>
      <w:r>
        <w:rPr>
          <w:rFonts w:ascii="Arial" w:hAnsi="Arial" w:cs="Arial"/>
          <w:color w:val="000000" w:themeColor="text1"/>
          <w:sz w:val="22"/>
          <w:szCs w:val="22"/>
          <w:lang w:val="en-GB"/>
        </w:rPr>
        <w:t>.</w:t>
      </w:r>
      <w:r w:rsidRPr="00FF605C">
        <w:rPr>
          <w:rFonts w:ascii="Arial" w:hAnsi="Arial" w:cs="Arial"/>
          <w:color w:val="000000" w:themeColor="text1"/>
          <w:sz w:val="22"/>
          <w:szCs w:val="22"/>
          <w:lang w:val="en-GB"/>
        </w:rPr>
        <w:t xml:space="preserve"> </w:t>
      </w:r>
    </w:p>
    <w:p w14:paraId="50CB3930" w14:textId="77777777" w:rsidR="00FF605C" w:rsidRPr="00FF605C" w:rsidRDefault="00FF605C" w:rsidP="00FF605C">
      <w:pPr>
        <w:widowControl w:val="0"/>
        <w:ind w:left="567" w:hanging="141"/>
        <w:contextualSpacing w:val="0"/>
        <w:rPr>
          <w:rFonts w:ascii="Arial" w:eastAsiaTheme="minorHAnsi" w:hAnsi="Arial" w:cs="Arial"/>
          <w:color w:val="auto"/>
          <w:sz w:val="22"/>
          <w:szCs w:val="22"/>
          <w:lang w:val="en-AU"/>
        </w:rPr>
      </w:pPr>
    </w:p>
    <w:p w14:paraId="1F5DD8C8" w14:textId="13B76FCF" w:rsidR="00124790" w:rsidRPr="005A1A5D" w:rsidRDefault="00AE01E9" w:rsidP="00830362">
      <w:pPr>
        <w:ind w:left="0" w:firstLine="0"/>
        <w:rPr>
          <w:rFonts w:ascii="Arial" w:hAnsi="Arial" w:cs="Arial"/>
          <w:color w:val="000000" w:themeColor="text1"/>
          <w:sz w:val="22"/>
          <w:szCs w:val="22"/>
          <w:lang w:val="en-GB"/>
        </w:rPr>
      </w:pPr>
      <w:r>
        <w:rPr>
          <w:rFonts w:ascii="Arial" w:eastAsiaTheme="minorHAnsi" w:hAnsi="Arial" w:cs="Arial"/>
          <w:color w:val="auto"/>
          <w:sz w:val="22"/>
          <w:szCs w:val="22"/>
          <w:lang w:val="en-AU"/>
        </w:rPr>
        <w:t>Equitable</w:t>
      </w:r>
      <w:r w:rsidRPr="00830362">
        <w:rPr>
          <w:rFonts w:ascii="Arial" w:eastAsiaTheme="minorHAnsi" w:hAnsi="Arial" w:cs="Arial"/>
          <w:color w:val="auto"/>
          <w:sz w:val="22"/>
          <w:szCs w:val="22"/>
          <w:lang w:val="en-AU"/>
        </w:rPr>
        <w:t xml:space="preserve"> </w:t>
      </w:r>
      <w:r w:rsidR="00FF605C" w:rsidRPr="00830362">
        <w:rPr>
          <w:rFonts w:ascii="Arial" w:eastAsiaTheme="minorHAnsi" w:hAnsi="Arial" w:cs="Arial"/>
          <w:color w:val="auto"/>
          <w:sz w:val="22"/>
          <w:szCs w:val="22"/>
          <w:lang w:val="en-AU"/>
        </w:rPr>
        <w:t xml:space="preserve">gender representation in all public institutions – including those with competence on land matters – is fundamental, given that these decision-making bodies create rules that affect people’s rights, behaviours and life choices. </w:t>
      </w:r>
      <w:r w:rsidR="00124790" w:rsidRPr="00830362">
        <w:rPr>
          <w:rFonts w:ascii="Arial" w:eastAsiaTheme="minorHAnsi" w:hAnsi="Arial" w:cs="Arial"/>
          <w:color w:val="auto"/>
          <w:sz w:val="22"/>
          <w:szCs w:val="22"/>
          <w:lang w:val="en-AU"/>
        </w:rPr>
        <w:t>Despite progress, in many countries (including</w:t>
      </w:r>
      <w:r w:rsidR="00124790" w:rsidRPr="00830362">
        <w:rPr>
          <w:rFonts w:ascii="Arial" w:hAnsi="Arial" w:cs="Arial"/>
          <w:color w:val="000000" w:themeColor="text1"/>
          <w:sz w:val="22"/>
          <w:szCs w:val="22"/>
          <w:lang w:val="en-GB"/>
        </w:rPr>
        <w:t xml:space="preserve"> in all OECD countries) women still are generally under-represented in decision-making positions and in public administrations.</w:t>
      </w:r>
      <w:r w:rsidR="00124790" w:rsidRPr="00FF605C">
        <w:rPr>
          <w:color w:val="000000" w:themeColor="text1"/>
          <w:vertAlign w:val="superscript"/>
          <w:lang w:val="en-GB"/>
        </w:rPr>
        <w:footnoteReference w:id="14"/>
      </w:r>
      <w:r w:rsidR="00124790" w:rsidRPr="00830362">
        <w:rPr>
          <w:rFonts w:ascii="Arial" w:hAnsi="Arial" w:cs="Arial"/>
          <w:color w:val="000000" w:themeColor="text1"/>
          <w:sz w:val="22"/>
          <w:szCs w:val="22"/>
          <w:lang w:val="en-GB"/>
        </w:rPr>
        <w:t xml:space="preserve"> A report of 2019 of the EU Parliament states that “</w:t>
      </w:r>
      <w:r w:rsidR="00124790" w:rsidRPr="00830362">
        <w:rPr>
          <w:rFonts w:ascii="Arial" w:hAnsi="Arial" w:cs="Arial"/>
          <w:b/>
          <w:i/>
          <w:color w:val="000000" w:themeColor="text1"/>
          <w:sz w:val="22"/>
          <w:szCs w:val="22"/>
          <w:lang w:val="en-GB"/>
        </w:rPr>
        <w:t>Europe-wide data show that women are still under-represented in political decision-making at local, national and European levels</w:t>
      </w:r>
      <w:r w:rsidR="00124790" w:rsidRPr="00830362">
        <w:rPr>
          <w:rFonts w:ascii="Arial" w:hAnsi="Arial" w:cs="Arial"/>
          <w:color w:val="000000" w:themeColor="text1"/>
          <w:sz w:val="22"/>
          <w:szCs w:val="22"/>
          <w:lang w:val="en-GB"/>
        </w:rPr>
        <w:t>.”</w:t>
      </w:r>
      <w:r w:rsidR="00124790" w:rsidRPr="00FF605C">
        <w:rPr>
          <w:color w:val="000000" w:themeColor="text1"/>
          <w:vertAlign w:val="superscript"/>
          <w:lang w:val="en-GB"/>
        </w:rPr>
        <w:footnoteReference w:id="15"/>
      </w:r>
      <w:r w:rsidR="00124790" w:rsidRPr="00830362">
        <w:rPr>
          <w:rFonts w:ascii="Arial" w:hAnsi="Arial" w:cs="Arial"/>
          <w:color w:val="000000" w:themeColor="text1"/>
          <w:sz w:val="22"/>
          <w:szCs w:val="22"/>
          <w:lang w:val="en-GB"/>
        </w:rPr>
        <w:t xml:space="preserve"> </w:t>
      </w:r>
      <w:r w:rsidR="00976B0E">
        <w:rPr>
          <w:rFonts w:ascii="Arial" w:hAnsi="Arial" w:cs="Arial"/>
          <w:color w:val="000000" w:themeColor="text1"/>
          <w:sz w:val="22"/>
          <w:szCs w:val="22"/>
          <w:lang w:val="en-GB"/>
        </w:rPr>
        <w:t xml:space="preserve">Indeed </w:t>
      </w:r>
      <w:r w:rsidR="005A1A5D">
        <w:rPr>
          <w:rFonts w:ascii="Arial" w:hAnsi="Arial" w:cs="Arial"/>
          <w:color w:val="000000" w:themeColor="text1"/>
          <w:sz w:val="22"/>
          <w:szCs w:val="22"/>
          <w:lang w:val="en-GB"/>
        </w:rPr>
        <w:t xml:space="preserve">although </w:t>
      </w:r>
      <w:r w:rsidR="00976B0E">
        <w:rPr>
          <w:rFonts w:ascii="Arial" w:hAnsi="Arial" w:cs="Arial"/>
          <w:color w:val="000000" w:themeColor="text1"/>
          <w:sz w:val="22"/>
          <w:szCs w:val="22"/>
          <w:lang w:val="en-GB"/>
        </w:rPr>
        <w:t xml:space="preserve">some </w:t>
      </w:r>
      <w:r w:rsidR="00AD7F00">
        <w:rPr>
          <w:rFonts w:ascii="Arial" w:hAnsi="Arial" w:cs="Arial"/>
          <w:color w:val="000000" w:themeColor="text1"/>
          <w:sz w:val="22"/>
          <w:szCs w:val="22"/>
          <w:lang w:val="en-GB"/>
        </w:rPr>
        <w:t xml:space="preserve">EU </w:t>
      </w:r>
      <w:r w:rsidR="00976B0E">
        <w:rPr>
          <w:rFonts w:ascii="Arial" w:hAnsi="Arial" w:cs="Arial"/>
          <w:color w:val="000000" w:themeColor="text1"/>
          <w:sz w:val="22"/>
          <w:szCs w:val="22"/>
          <w:lang w:val="en-GB"/>
        </w:rPr>
        <w:t>M</w:t>
      </w:r>
      <w:r w:rsidR="00124790" w:rsidRPr="00830362">
        <w:rPr>
          <w:rFonts w:ascii="Arial" w:hAnsi="Arial" w:cs="Arial"/>
          <w:color w:val="000000" w:themeColor="text1"/>
          <w:sz w:val="22"/>
          <w:szCs w:val="22"/>
          <w:lang w:val="en-GB"/>
        </w:rPr>
        <w:t>ember States, such as Slov</w:t>
      </w:r>
      <w:r w:rsidR="000B5DB9" w:rsidRPr="00830362">
        <w:rPr>
          <w:rFonts w:ascii="Arial" w:hAnsi="Arial" w:cs="Arial"/>
          <w:color w:val="000000" w:themeColor="text1"/>
          <w:sz w:val="22"/>
          <w:szCs w:val="22"/>
          <w:lang w:val="en-GB"/>
        </w:rPr>
        <w:t>enia and France</w:t>
      </w:r>
      <w:r w:rsidR="00124790" w:rsidRPr="00830362">
        <w:rPr>
          <w:rFonts w:ascii="Arial" w:hAnsi="Arial" w:cs="Arial"/>
          <w:color w:val="000000" w:themeColor="text1"/>
          <w:sz w:val="22"/>
          <w:szCs w:val="22"/>
          <w:lang w:val="en-GB"/>
        </w:rPr>
        <w:t xml:space="preserve"> have achieved significant progress, others lag behind as to women's political representation. The report further </w:t>
      </w:r>
      <w:r w:rsidR="00CD7E9B" w:rsidRPr="00830362">
        <w:rPr>
          <w:rFonts w:ascii="Arial" w:hAnsi="Arial" w:cs="Arial"/>
          <w:color w:val="000000" w:themeColor="text1"/>
          <w:sz w:val="22"/>
          <w:szCs w:val="22"/>
          <w:lang w:val="en-GB"/>
        </w:rPr>
        <w:t xml:space="preserve">notes </w:t>
      </w:r>
      <w:r w:rsidR="00124790" w:rsidRPr="00830362">
        <w:rPr>
          <w:rFonts w:ascii="Arial" w:hAnsi="Arial" w:cs="Arial"/>
          <w:color w:val="000000" w:themeColor="text1"/>
          <w:sz w:val="22"/>
          <w:szCs w:val="22"/>
          <w:lang w:val="en-GB"/>
        </w:rPr>
        <w:t xml:space="preserve">that countries such as Cyprus and Italy also have </w:t>
      </w:r>
      <w:r w:rsidR="00124790" w:rsidRPr="00830362">
        <w:rPr>
          <w:rFonts w:ascii="Arial" w:hAnsi="Arial" w:cs="Arial"/>
          <w:b/>
          <w:color w:val="000000" w:themeColor="text1"/>
          <w:sz w:val="22"/>
          <w:szCs w:val="22"/>
          <w:lang w:val="en-GB"/>
        </w:rPr>
        <w:t xml:space="preserve">very low numbers of women in government, i.e.16.7 </w:t>
      </w:r>
      <w:r w:rsidR="00124790" w:rsidRPr="005A1A5D">
        <w:rPr>
          <w:rFonts w:ascii="Arial" w:hAnsi="Arial" w:cs="Arial"/>
          <w:b/>
          <w:color w:val="000000" w:themeColor="text1"/>
          <w:sz w:val="22"/>
          <w:szCs w:val="22"/>
          <w:lang w:val="en-GB"/>
        </w:rPr>
        <w:t>%.</w:t>
      </w:r>
      <w:r w:rsidR="00124790" w:rsidRPr="00122600">
        <w:rPr>
          <w:rFonts w:ascii="Arial" w:hAnsi="Arial" w:cs="Arial"/>
          <w:color w:val="000000" w:themeColor="text1"/>
          <w:vertAlign w:val="superscript"/>
          <w:lang w:val="en-GB"/>
        </w:rPr>
        <w:footnoteReference w:id="16"/>
      </w:r>
      <w:r w:rsidR="00EA04A8" w:rsidRPr="005A1A5D">
        <w:rPr>
          <w:rFonts w:ascii="Arial" w:hAnsi="Arial" w:cs="Arial"/>
          <w:b/>
          <w:color w:val="000000" w:themeColor="text1"/>
          <w:sz w:val="22"/>
          <w:szCs w:val="22"/>
          <w:lang w:val="en-GB"/>
        </w:rPr>
        <w:t xml:space="preserve"> </w:t>
      </w:r>
    </w:p>
    <w:p w14:paraId="6E522B2C" w14:textId="77777777" w:rsidR="00FF605C" w:rsidRPr="00FF605C" w:rsidRDefault="00FF605C" w:rsidP="00FF605C">
      <w:pPr>
        <w:pStyle w:val="ListParagraph"/>
        <w:ind w:left="709" w:firstLine="0"/>
        <w:rPr>
          <w:rFonts w:ascii="Arial" w:hAnsi="Arial" w:cs="Arial"/>
          <w:color w:val="000000" w:themeColor="text1"/>
          <w:sz w:val="22"/>
          <w:szCs w:val="22"/>
          <w:lang w:val="en-GB"/>
        </w:rPr>
      </w:pPr>
    </w:p>
    <w:p w14:paraId="614F31DD" w14:textId="77777777" w:rsidR="00124790" w:rsidRPr="00830362" w:rsidRDefault="00124790" w:rsidP="00830362">
      <w:pPr>
        <w:widowControl w:val="0"/>
        <w:ind w:left="0" w:firstLine="0"/>
        <w:contextualSpacing w:val="0"/>
        <w:rPr>
          <w:rFonts w:ascii="Arial" w:hAnsi="Arial" w:cs="Arial"/>
          <w:color w:val="000000" w:themeColor="text1"/>
          <w:sz w:val="22"/>
          <w:szCs w:val="22"/>
          <w:lang w:val="en-GB"/>
        </w:rPr>
      </w:pPr>
      <w:r w:rsidRPr="00830362">
        <w:rPr>
          <w:rFonts w:ascii="Arial" w:hAnsi="Arial" w:cs="Arial"/>
          <w:color w:val="000000" w:themeColor="text1"/>
          <w:sz w:val="22"/>
          <w:szCs w:val="22"/>
          <w:lang w:val="en-GB"/>
        </w:rPr>
        <w:t xml:space="preserve">The importance of achieving equal representation of women and men in decision-making processes is specifically addressed in Articles 7 and 8 of CEDAW covering the right of women to non-discrimination in a country’s public and political spheres, as well as their right to equality with men with regard to the following: the right to vote; the right to be eligible for election to all publicly elected bodies; the right to participate in the formulation of government policy and its implementation; the right to hold public office and to perform all public functions at all levels of government etc. In its </w:t>
      </w:r>
      <w:r w:rsidRPr="00122600">
        <w:rPr>
          <w:rFonts w:ascii="Arial" w:hAnsi="Arial" w:cs="Arial"/>
          <w:color w:val="000000" w:themeColor="text1"/>
          <w:sz w:val="22"/>
          <w:szCs w:val="22"/>
          <w:lang w:val="en-GB"/>
        </w:rPr>
        <w:t xml:space="preserve">General Recommendations 5, 23 and 25 </w:t>
      </w:r>
      <w:r w:rsidRPr="00830362">
        <w:rPr>
          <w:rFonts w:ascii="Arial" w:hAnsi="Arial" w:cs="Arial"/>
          <w:color w:val="000000" w:themeColor="text1"/>
          <w:sz w:val="22"/>
          <w:szCs w:val="22"/>
          <w:lang w:val="en-GB"/>
        </w:rPr>
        <w:t>the CEDAW Committee also explicitly mention</w:t>
      </w:r>
      <w:r w:rsidR="005A1A5D">
        <w:rPr>
          <w:rFonts w:ascii="Arial" w:hAnsi="Arial" w:cs="Arial"/>
          <w:color w:val="000000" w:themeColor="text1"/>
          <w:sz w:val="22"/>
          <w:szCs w:val="22"/>
          <w:lang w:val="en-GB"/>
        </w:rPr>
        <w:t>s</w:t>
      </w:r>
      <w:r w:rsidRPr="00830362">
        <w:rPr>
          <w:rFonts w:ascii="Arial" w:hAnsi="Arial" w:cs="Arial"/>
          <w:color w:val="000000" w:themeColor="text1"/>
          <w:sz w:val="22"/>
          <w:szCs w:val="22"/>
          <w:lang w:val="en-GB"/>
        </w:rPr>
        <w:t xml:space="preserve"> </w:t>
      </w:r>
      <w:r w:rsidRPr="00830362">
        <w:rPr>
          <w:rFonts w:ascii="Arial" w:hAnsi="Arial" w:cs="Arial"/>
          <w:b/>
          <w:color w:val="000000" w:themeColor="text1"/>
          <w:sz w:val="22"/>
          <w:szCs w:val="22"/>
          <w:lang w:val="en-GB"/>
        </w:rPr>
        <w:t>quota systems</w:t>
      </w:r>
      <w:r w:rsidRPr="00830362">
        <w:rPr>
          <w:rFonts w:ascii="Arial" w:hAnsi="Arial" w:cs="Arial"/>
          <w:color w:val="000000" w:themeColor="text1"/>
          <w:sz w:val="22"/>
          <w:szCs w:val="22"/>
          <w:lang w:val="en-GB"/>
        </w:rPr>
        <w:t xml:space="preserve"> as measures to increase the participation of women in public and political life.</w:t>
      </w:r>
      <w:r w:rsidR="00D528E0">
        <w:rPr>
          <w:rStyle w:val="FootnoteReference"/>
          <w:rFonts w:ascii="Arial" w:hAnsi="Arial" w:cs="Arial"/>
          <w:color w:val="000000" w:themeColor="text1"/>
          <w:sz w:val="22"/>
          <w:szCs w:val="22"/>
          <w:lang w:val="en-GB"/>
        </w:rPr>
        <w:footnoteReference w:id="17"/>
      </w:r>
      <w:r w:rsidRPr="00830362">
        <w:rPr>
          <w:rFonts w:ascii="Arial" w:hAnsi="Arial" w:cs="Arial"/>
          <w:color w:val="000000" w:themeColor="text1"/>
          <w:sz w:val="22"/>
          <w:szCs w:val="22"/>
          <w:lang w:val="en-GB"/>
        </w:rPr>
        <w:t xml:space="preserve"> </w:t>
      </w:r>
      <w:r w:rsidR="007246EA">
        <w:rPr>
          <w:rFonts w:ascii="Arial" w:hAnsi="Arial" w:cs="Arial"/>
          <w:color w:val="000000" w:themeColor="text1"/>
          <w:sz w:val="22"/>
          <w:szCs w:val="22"/>
          <w:lang w:val="en-GB"/>
        </w:rPr>
        <w:t>The introduction of q</w:t>
      </w:r>
      <w:r w:rsidRPr="00830362">
        <w:rPr>
          <w:rFonts w:ascii="Arial" w:hAnsi="Arial" w:cs="Arial"/>
          <w:color w:val="000000" w:themeColor="text1"/>
          <w:sz w:val="22"/>
          <w:szCs w:val="22"/>
          <w:lang w:val="en-GB"/>
        </w:rPr>
        <w:t xml:space="preserve">uotas </w:t>
      </w:r>
      <w:r w:rsidR="007246EA">
        <w:rPr>
          <w:rFonts w:ascii="Arial" w:hAnsi="Arial" w:cs="Arial"/>
          <w:color w:val="000000" w:themeColor="text1"/>
          <w:sz w:val="22"/>
          <w:szCs w:val="22"/>
          <w:lang w:val="en-GB"/>
        </w:rPr>
        <w:t>could serve as</w:t>
      </w:r>
      <w:r w:rsidRPr="00830362">
        <w:rPr>
          <w:rFonts w:ascii="Arial" w:hAnsi="Arial" w:cs="Arial"/>
          <w:color w:val="000000" w:themeColor="text1"/>
          <w:sz w:val="22"/>
          <w:szCs w:val="22"/>
          <w:lang w:val="en-GB"/>
        </w:rPr>
        <w:t xml:space="preserve"> a transitional or correctional measure to reduce historical differences in representation.</w:t>
      </w:r>
      <w:r w:rsidR="00A906F1">
        <w:rPr>
          <w:rStyle w:val="FootnoteReference"/>
          <w:rFonts w:ascii="Arial" w:hAnsi="Arial" w:cs="Arial"/>
          <w:color w:val="000000" w:themeColor="text1"/>
          <w:sz w:val="22"/>
          <w:szCs w:val="22"/>
          <w:lang w:val="en-GB"/>
        </w:rPr>
        <w:footnoteReference w:id="18"/>
      </w:r>
      <w:r w:rsidRPr="00830362">
        <w:rPr>
          <w:rFonts w:ascii="Arial" w:hAnsi="Arial" w:cs="Arial"/>
          <w:color w:val="000000" w:themeColor="text1"/>
          <w:sz w:val="22"/>
          <w:szCs w:val="22"/>
          <w:lang w:val="en-GB"/>
        </w:rPr>
        <w:t xml:space="preserve"> </w:t>
      </w:r>
    </w:p>
    <w:p w14:paraId="3638E74B" w14:textId="77777777" w:rsidR="00FF605C" w:rsidRDefault="00FF605C" w:rsidP="00FF605C">
      <w:pPr>
        <w:widowControl w:val="0"/>
        <w:contextualSpacing w:val="0"/>
        <w:rPr>
          <w:rFonts w:ascii="Arial" w:hAnsi="Arial" w:cs="Arial"/>
          <w:color w:val="000000" w:themeColor="text1"/>
          <w:sz w:val="22"/>
          <w:szCs w:val="22"/>
          <w:lang w:val="en-GB"/>
        </w:rPr>
      </w:pPr>
    </w:p>
    <w:p w14:paraId="400DF353" w14:textId="333A9FFB" w:rsidR="00D83B68" w:rsidRPr="00107D5B" w:rsidRDefault="005A1A5D" w:rsidP="00D83B68">
      <w:pPr>
        <w:pStyle w:val="ListParagraph"/>
        <w:ind w:left="0" w:firstLine="0"/>
        <w:rPr>
          <w:rFonts w:ascii="Arial" w:eastAsiaTheme="minorHAnsi" w:hAnsi="Arial" w:cs="Arial"/>
          <w:color w:val="auto"/>
          <w:sz w:val="22"/>
          <w:szCs w:val="22"/>
        </w:rPr>
      </w:pPr>
      <w:r>
        <w:rPr>
          <w:rFonts w:ascii="Arial" w:eastAsiaTheme="minorHAnsi" w:hAnsi="Arial" w:cs="Arial"/>
          <w:color w:val="auto"/>
          <w:sz w:val="22"/>
          <w:szCs w:val="22"/>
          <w:lang w:val="en-AU"/>
        </w:rPr>
        <w:t xml:space="preserve">Some </w:t>
      </w:r>
      <w:r w:rsidR="00FF605C">
        <w:rPr>
          <w:rFonts w:ascii="Arial" w:eastAsiaTheme="minorHAnsi" w:hAnsi="Arial" w:cs="Arial"/>
          <w:color w:val="auto"/>
          <w:sz w:val="22"/>
          <w:szCs w:val="22"/>
          <w:lang w:val="en-AU"/>
        </w:rPr>
        <w:t xml:space="preserve">states have recognised </w:t>
      </w:r>
      <w:r w:rsidR="004B68BC">
        <w:rPr>
          <w:rFonts w:ascii="Arial" w:eastAsiaTheme="minorHAnsi" w:hAnsi="Arial" w:cs="Arial"/>
          <w:color w:val="auto"/>
          <w:sz w:val="22"/>
          <w:szCs w:val="22"/>
          <w:lang w:val="en-AU"/>
        </w:rPr>
        <w:t>the underrepresentation of women in decision-making bodies</w:t>
      </w:r>
      <w:r w:rsidR="00FF605C">
        <w:rPr>
          <w:rFonts w:ascii="Arial" w:eastAsiaTheme="minorHAnsi" w:hAnsi="Arial" w:cs="Arial"/>
          <w:color w:val="auto"/>
          <w:sz w:val="22"/>
          <w:szCs w:val="22"/>
          <w:lang w:val="en-AU"/>
        </w:rPr>
        <w:t xml:space="preserve">, including in economically </w:t>
      </w:r>
      <w:r w:rsidR="00FF605C" w:rsidRPr="00B45A4B">
        <w:rPr>
          <w:rFonts w:ascii="Arial" w:eastAsiaTheme="minorHAnsi" w:hAnsi="Arial" w:cs="Arial"/>
          <w:color w:val="auto"/>
          <w:sz w:val="22"/>
          <w:szCs w:val="22"/>
          <w:lang w:val="en-GB"/>
        </w:rPr>
        <w:t>advanced countries</w:t>
      </w:r>
      <w:r w:rsidR="00AE01E9" w:rsidRPr="00B45A4B">
        <w:rPr>
          <w:rFonts w:ascii="Arial" w:eastAsiaTheme="minorHAnsi" w:hAnsi="Arial" w:cs="Arial"/>
          <w:color w:val="auto"/>
          <w:sz w:val="22"/>
          <w:szCs w:val="22"/>
          <w:lang w:val="en-GB"/>
        </w:rPr>
        <w:t xml:space="preserve"> and have adopted </w:t>
      </w:r>
      <w:r w:rsidRPr="00B45A4B">
        <w:rPr>
          <w:rFonts w:ascii="Arial" w:eastAsiaTheme="minorHAnsi" w:hAnsi="Arial" w:cs="Arial"/>
          <w:color w:val="auto"/>
          <w:sz w:val="22"/>
          <w:szCs w:val="22"/>
          <w:lang w:val="en-GB"/>
        </w:rPr>
        <w:t xml:space="preserve">legal reforms </w:t>
      </w:r>
      <w:r w:rsidR="00AE01E9" w:rsidRPr="00B45A4B">
        <w:rPr>
          <w:rFonts w:ascii="Arial" w:eastAsiaTheme="minorHAnsi" w:hAnsi="Arial" w:cs="Arial"/>
          <w:color w:val="auto"/>
          <w:sz w:val="22"/>
          <w:szCs w:val="22"/>
          <w:lang w:val="en-GB"/>
        </w:rPr>
        <w:t>to address the situation</w:t>
      </w:r>
      <w:r w:rsidR="00FF605C" w:rsidRPr="00B45A4B">
        <w:rPr>
          <w:rFonts w:ascii="Arial" w:eastAsiaTheme="minorHAnsi" w:hAnsi="Arial" w:cs="Arial"/>
          <w:color w:val="auto"/>
          <w:sz w:val="22"/>
          <w:szCs w:val="22"/>
          <w:lang w:val="en-GB"/>
        </w:rPr>
        <w:t xml:space="preserve">. In the European </w:t>
      </w:r>
      <w:r w:rsidRPr="00B45A4B">
        <w:rPr>
          <w:rFonts w:ascii="Arial" w:eastAsiaTheme="minorHAnsi" w:hAnsi="Arial" w:cs="Arial"/>
          <w:color w:val="auto"/>
          <w:sz w:val="22"/>
          <w:szCs w:val="22"/>
          <w:lang w:val="en-GB"/>
        </w:rPr>
        <w:t xml:space="preserve">continent </w:t>
      </w:r>
      <w:r w:rsidR="006E1245" w:rsidRPr="00B45A4B">
        <w:rPr>
          <w:rFonts w:ascii="Arial" w:eastAsiaTheme="minorHAnsi" w:hAnsi="Arial" w:cs="Arial"/>
          <w:color w:val="auto"/>
          <w:sz w:val="22"/>
          <w:szCs w:val="22"/>
          <w:lang w:val="en-GB"/>
        </w:rPr>
        <w:t>th</w:t>
      </w:r>
      <w:r w:rsidRPr="00B45A4B">
        <w:rPr>
          <w:rFonts w:ascii="Arial" w:eastAsiaTheme="minorHAnsi" w:hAnsi="Arial" w:cs="Arial"/>
          <w:color w:val="auto"/>
          <w:sz w:val="22"/>
          <w:szCs w:val="22"/>
          <w:lang w:val="en-GB"/>
        </w:rPr>
        <w:t>is</w:t>
      </w:r>
      <w:r w:rsidR="00FF605C" w:rsidRPr="00B45A4B">
        <w:rPr>
          <w:rFonts w:ascii="Arial" w:eastAsiaTheme="minorHAnsi" w:hAnsi="Arial" w:cs="Arial"/>
          <w:color w:val="auto"/>
          <w:sz w:val="22"/>
          <w:szCs w:val="22"/>
          <w:lang w:val="en-GB"/>
        </w:rPr>
        <w:t xml:space="preserve"> include</w:t>
      </w:r>
      <w:r w:rsidRPr="00B45A4B">
        <w:rPr>
          <w:rFonts w:ascii="Arial" w:eastAsiaTheme="minorHAnsi" w:hAnsi="Arial" w:cs="Arial"/>
          <w:color w:val="auto"/>
          <w:sz w:val="22"/>
          <w:szCs w:val="22"/>
          <w:lang w:val="en-GB"/>
        </w:rPr>
        <w:t>s</w:t>
      </w:r>
      <w:r w:rsidR="00FF605C" w:rsidRPr="00B45A4B">
        <w:rPr>
          <w:rFonts w:ascii="Arial" w:eastAsiaTheme="minorHAnsi" w:hAnsi="Arial" w:cs="Arial"/>
          <w:color w:val="auto"/>
          <w:sz w:val="22"/>
          <w:szCs w:val="22"/>
          <w:lang w:val="en-GB"/>
        </w:rPr>
        <w:t xml:space="preserve"> Slovenia</w:t>
      </w:r>
      <w:r w:rsidR="00A236C8" w:rsidRPr="00B45A4B">
        <w:rPr>
          <w:rFonts w:ascii="Arial" w:eastAsiaTheme="minorHAnsi" w:hAnsi="Arial" w:cs="Arial"/>
          <w:color w:val="auto"/>
          <w:sz w:val="22"/>
          <w:szCs w:val="22"/>
          <w:lang w:val="en-GB"/>
        </w:rPr>
        <w:t xml:space="preserve"> (</w:t>
      </w:r>
      <w:r w:rsidR="00A236C8" w:rsidRPr="00B45A4B">
        <w:rPr>
          <w:rFonts w:ascii="Arial" w:eastAsiaTheme="minorHAnsi" w:hAnsi="Arial" w:cs="Arial"/>
          <w:b/>
          <w:color w:val="auto"/>
          <w:sz w:val="22"/>
          <w:szCs w:val="22"/>
          <w:lang w:val="en-GB"/>
        </w:rPr>
        <w:t xml:space="preserve">ANNEX </w:t>
      </w:r>
      <w:r w:rsidR="004B68BC" w:rsidRPr="00B45A4B">
        <w:rPr>
          <w:rFonts w:ascii="Arial" w:eastAsiaTheme="minorHAnsi" w:hAnsi="Arial" w:cs="Arial"/>
          <w:b/>
          <w:color w:val="auto"/>
          <w:sz w:val="22"/>
          <w:szCs w:val="22"/>
          <w:lang w:val="en-GB"/>
        </w:rPr>
        <w:t>I</w:t>
      </w:r>
      <w:r w:rsidR="00122600" w:rsidRPr="00B45A4B">
        <w:rPr>
          <w:rFonts w:ascii="Arial" w:eastAsiaTheme="minorHAnsi" w:hAnsi="Arial" w:cs="Arial"/>
          <w:b/>
          <w:color w:val="auto"/>
          <w:sz w:val="22"/>
          <w:szCs w:val="22"/>
          <w:lang w:val="en-GB"/>
        </w:rPr>
        <w:t>I</w:t>
      </w:r>
      <w:r w:rsidR="004B68BC" w:rsidRPr="00B45A4B">
        <w:rPr>
          <w:rFonts w:ascii="Arial" w:eastAsiaTheme="minorHAnsi" w:hAnsi="Arial" w:cs="Arial"/>
          <w:b/>
          <w:color w:val="auto"/>
          <w:sz w:val="22"/>
          <w:szCs w:val="22"/>
          <w:lang w:val="en-GB"/>
        </w:rPr>
        <w:t>I</w:t>
      </w:r>
      <w:r w:rsidR="006E1245" w:rsidRPr="00B45A4B">
        <w:rPr>
          <w:rFonts w:ascii="Arial" w:eastAsiaTheme="minorHAnsi" w:hAnsi="Arial" w:cs="Arial"/>
          <w:color w:val="auto"/>
          <w:sz w:val="22"/>
          <w:szCs w:val="22"/>
          <w:lang w:val="en-GB"/>
        </w:rPr>
        <w:t>)</w:t>
      </w:r>
      <w:r w:rsidR="00FF605C" w:rsidRPr="00B45A4B">
        <w:rPr>
          <w:rFonts w:ascii="Arial" w:eastAsiaTheme="minorHAnsi" w:hAnsi="Arial" w:cs="Arial"/>
          <w:color w:val="auto"/>
          <w:sz w:val="22"/>
          <w:szCs w:val="22"/>
          <w:lang w:val="en-GB"/>
        </w:rPr>
        <w:t>, which in 2004 introduced a</w:t>
      </w:r>
      <w:r w:rsidR="00B45A4B" w:rsidRPr="00B45A4B">
        <w:rPr>
          <w:rFonts w:ascii="Arial" w:eastAsiaTheme="minorHAnsi" w:hAnsi="Arial" w:cs="Arial"/>
          <w:color w:val="auto"/>
          <w:sz w:val="22"/>
          <w:szCs w:val="22"/>
          <w:lang w:val="en-GB"/>
        </w:rPr>
        <w:t xml:space="preserve"> D</w:t>
      </w:r>
      <w:r w:rsidRPr="00B45A4B">
        <w:rPr>
          <w:rFonts w:ascii="Arial" w:eastAsiaTheme="minorHAnsi" w:hAnsi="Arial" w:cs="Arial"/>
          <w:color w:val="auto"/>
          <w:sz w:val="22"/>
          <w:szCs w:val="22"/>
          <w:lang w:val="en-GB"/>
        </w:rPr>
        <w:t>ecree</w:t>
      </w:r>
      <w:r w:rsidR="00B45A4B" w:rsidRPr="00B45A4B">
        <w:rPr>
          <w:rStyle w:val="FootnoteReference"/>
          <w:rFonts w:ascii="Arial" w:eastAsiaTheme="minorHAnsi" w:hAnsi="Arial" w:cs="Arial"/>
          <w:color w:val="auto"/>
          <w:sz w:val="22"/>
          <w:szCs w:val="22"/>
          <w:lang w:val="en-GB"/>
        </w:rPr>
        <w:footnoteReference w:id="19"/>
      </w:r>
      <w:r w:rsidR="00B45A4B" w:rsidRPr="00B45A4B">
        <w:rPr>
          <w:rFonts w:ascii="Arial" w:eastAsiaTheme="minorHAnsi" w:hAnsi="Arial" w:cs="Arial"/>
          <w:color w:val="auto"/>
          <w:sz w:val="22"/>
          <w:szCs w:val="22"/>
          <w:lang w:val="en-GB"/>
        </w:rPr>
        <w:t xml:space="preserve"> implementing</w:t>
      </w:r>
      <w:r w:rsidRPr="00B45A4B">
        <w:rPr>
          <w:rFonts w:ascii="Arial" w:eastAsiaTheme="minorHAnsi" w:hAnsi="Arial" w:cs="Arial"/>
          <w:color w:val="auto"/>
          <w:sz w:val="22"/>
          <w:szCs w:val="22"/>
          <w:lang w:val="en-GB"/>
        </w:rPr>
        <w:t xml:space="preserve"> </w:t>
      </w:r>
      <w:r w:rsidR="00B45A4B" w:rsidRPr="00B45A4B">
        <w:rPr>
          <w:rFonts w:ascii="Arial" w:eastAsiaTheme="minorHAnsi" w:hAnsi="Arial" w:cs="Arial"/>
          <w:color w:val="auto"/>
          <w:sz w:val="22"/>
          <w:szCs w:val="22"/>
          <w:lang w:val="en-GB"/>
        </w:rPr>
        <w:t>Article 14 of the Equal Opportunities for Women and Men Act</w:t>
      </w:r>
      <w:r w:rsidR="00867E8B">
        <w:rPr>
          <w:rStyle w:val="FootnoteReference"/>
          <w:rFonts w:ascii="Arial" w:eastAsiaTheme="minorHAnsi" w:hAnsi="Arial" w:cs="Arial"/>
          <w:color w:val="auto"/>
          <w:sz w:val="22"/>
          <w:szCs w:val="22"/>
          <w:lang w:val="en-GB"/>
        </w:rPr>
        <w:footnoteReference w:id="20"/>
      </w:r>
      <w:r w:rsidR="00B45A4B" w:rsidRPr="00B45A4B">
        <w:rPr>
          <w:rFonts w:ascii="Arial" w:eastAsiaTheme="minorHAnsi" w:hAnsi="Arial" w:cs="Arial"/>
          <w:color w:val="auto"/>
          <w:sz w:val="22"/>
          <w:szCs w:val="22"/>
          <w:lang w:val="en-GB"/>
        </w:rPr>
        <w:t>, which binds the Government of the Republic of Slovenia to follow the principle of ensuring a gender-balanced composition of advisory and coordination bodies, other working bodies and delegations established by the Government of the Republic of Slovenia.</w:t>
      </w:r>
      <w:r w:rsidR="00FF605C" w:rsidRPr="00B45A4B">
        <w:rPr>
          <w:rFonts w:ascii="Arial" w:eastAsiaTheme="minorHAnsi" w:hAnsi="Arial" w:cs="Arial"/>
          <w:color w:val="auto"/>
          <w:sz w:val="22"/>
          <w:szCs w:val="22"/>
          <w:lang w:val="en-GB"/>
        </w:rPr>
        <w:t xml:space="preserve"> </w:t>
      </w:r>
      <w:r w:rsidRPr="00B45A4B">
        <w:rPr>
          <w:rFonts w:ascii="Arial" w:eastAsiaTheme="minorHAnsi" w:hAnsi="Arial" w:cs="Arial"/>
          <w:color w:val="auto"/>
          <w:sz w:val="22"/>
          <w:szCs w:val="22"/>
          <w:lang w:val="en-GB"/>
        </w:rPr>
        <w:t xml:space="preserve">Under </w:t>
      </w:r>
      <w:r w:rsidR="00FF605C" w:rsidRPr="00B45A4B">
        <w:rPr>
          <w:rFonts w:ascii="Arial" w:eastAsiaTheme="minorHAnsi" w:hAnsi="Arial" w:cs="Arial"/>
          <w:color w:val="auto"/>
          <w:sz w:val="22"/>
          <w:szCs w:val="22"/>
          <w:lang w:val="en-GB"/>
        </w:rPr>
        <w:t xml:space="preserve">this </w:t>
      </w:r>
      <w:r w:rsidR="00122600" w:rsidRPr="00B45A4B">
        <w:rPr>
          <w:rFonts w:ascii="Arial" w:eastAsiaTheme="minorHAnsi" w:hAnsi="Arial" w:cs="Arial"/>
          <w:color w:val="auto"/>
          <w:sz w:val="22"/>
          <w:szCs w:val="22"/>
          <w:lang w:val="en-GB"/>
        </w:rPr>
        <w:t>decree</w:t>
      </w:r>
      <w:r w:rsidR="00B45A4B" w:rsidRPr="00B45A4B">
        <w:rPr>
          <w:rFonts w:ascii="Arial" w:eastAsiaTheme="minorHAnsi" w:hAnsi="Arial" w:cs="Arial"/>
          <w:color w:val="auto"/>
          <w:sz w:val="22"/>
          <w:szCs w:val="22"/>
          <w:lang w:val="en-GB"/>
        </w:rPr>
        <w:t>,</w:t>
      </w:r>
      <w:r w:rsidR="00FF605C" w:rsidRPr="00B45A4B">
        <w:rPr>
          <w:rFonts w:ascii="Arial" w:eastAsiaTheme="minorHAnsi" w:hAnsi="Arial" w:cs="Arial"/>
          <w:color w:val="auto"/>
          <w:sz w:val="22"/>
          <w:szCs w:val="22"/>
          <w:lang w:val="en-GB"/>
        </w:rPr>
        <w:t xml:space="preserve"> balanced composition of governmental bodies is reached with at least 40% representatives of one sex.</w:t>
      </w:r>
      <w:r w:rsidR="00FF605C" w:rsidRPr="00B45A4B">
        <w:rPr>
          <w:rFonts w:ascii="Arial" w:eastAsiaTheme="minorHAnsi" w:hAnsi="Arial" w:cs="Arial"/>
          <w:color w:val="auto"/>
          <w:sz w:val="22"/>
          <w:szCs w:val="22"/>
          <w:vertAlign w:val="superscript"/>
          <w:lang w:val="en-GB"/>
        </w:rPr>
        <w:footnoteReference w:id="21"/>
      </w:r>
      <w:r w:rsidR="00FF605C" w:rsidRPr="00B45A4B">
        <w:rPr>
          <w:rFonts w:ascii="Arial" w:eastAsiaTheme="minorHAnsi" w:hAnsi="Arial" w:cs="Arial"/>
          <w:color w:val="auto"/>
          <w:sz w:val="22"/>
          <w:szCs w:val="22"/>
          <w:lang w:val="en-GB"/>
        </w:rPr>
        <w:t xml:space="preserve"> Data </w:t>
      </w:r>
      <w:r w:rsidRPr="00B45A4B">
        <w:rPr>
          <w:rFonts w:ascii="Arial" w:eastAsiaTheme="minorHAnsi" w:hAnsi="Arial" w:cs="Arial"/>
          <w:color w:val="auto"/>
          <w:sz w:val="22"/>
          <w:szCs w:val="22"/>
          <w:lang w:val="en-GB"/>
        </w:rPr>
        <w:t xml:space="preserve">from </w:t>
      </w:r>
      <w:r w:rsidR="00FF605C" w:rsidRPr="00B45A4B">
        <w:rPr>
          <w:rFonts w:ascii="Arial" w:eastAsiaTheme="minorHAnsi" w:hAnsi="Arial" w:cs="Arial"/>
          <w:color w:val="auto"/>
          <w:sz w:val="22"/>
          <w:szCs w:val="22"/>
          <w:lang w:val="en-GB"/>
        </w:rPr>
        <w:t>2012 show</w:t>
      </w:r>
      <w:r w:rsidR="00B45A4B" w:rsidRPr="00B45A4B">
        <w:rPr>
          <w:rFonts w:ascii="Arial" w:eastAsiaTheme="minorHAnsi" w:hAnsi="Arial" w:cs="Arial"/>
          <w:color w:val="auto"/>
          <w:sz w:val="22"/>
          <w:szCs w:val="22"/>
          <w:lang w:val="en-GB"/>
        </w:rPr>
        <w:t>ed</w:t>
      </w:r>
      <w:r w:rsidR="00FF605C" w:rsidRPr="00B45A4B">
        <w:rPr>
          <w:rFonts w:ascii="Arial" w:eastAsiaTheme="minorHAnsi" w:hAnsi="Arial" w:cs="Arial"/>
          <w:color w:val="auto"/>
          <w:sz w:val="22"/>
          <w:szCs w:val="22"/>
          <w:lang w:val="en-GB"/>
        </w:rPr>
        <w:t xml:space="preserve"> that through the implementation of this Decree the representation of </w:t>
      </w:r>
      <w:r w:rsidR="00FF605C" w:rsidRPr="00B45A4B">
        <w:rPr>
          <w:rFonts w:ascii="Arial" w:eastAsiaTheme="minorHAnsi" w:hAnsi="Arial" w:cs="Arial"/>
          <w:color w:val="auto"/>
          <w:sz w:val="22"/>
          <w:szCs w:val="22"/>
          <w:lang w:val="en-GB"/>
        </w:rPr>
        <w:lastRenderedPageBreak/>
        <w:t>women in government bodies and public institutions has exceeded the gender balanced representation threshold of at least 40% representation of both sexes.</w:t>
      </w:r>
      <w:r w:rsidR="00FF605C" w:rsidRPr="00B45A4B">
        <w:rPr>
          <w:rFonts w:ascii="Arial" w:eastAsiaTheme="minorHAnsi" w:hAnsi="Arial" w:cs="Arial"/>
          <w:color w:val="auto"/>
          <w:sz w:val="22"/>
          <w:szCs w:val="22"/>
          <w:vertAlign w:val="superscript"/>
          <w:lang w:val="en-GB"/>
        </w:rPr>
        <w:footnoteReference w:id="22"/>
      </w:r>
      <w:r w:rsidR="00FF605C" w:rsidRPr="00B45A4B">
        <w:rPr>
          <w:rFonts w:ascii="Arial" w:eastAsiaTheme="minorHAnsi" w:hAnsi="Arial" w:cs="Arial"/>
          <w:color w:val="auto"/>
          <w:sz w:val="22"/>
          <w:szCs w:val="22"/>
          <w:lang w:val="en-GB"/>
        </w:rPr>
        <w:t xml:space="preserve"> </w:t>
      </w:r>
      <w:r w:rsidR="00D83B68">
        <w:rPr>
          <w:rFonts w:ascii="Arial" w:eastAsiaTheme="minorHAnsi" w:hAnsi="Arial" w:cs="Arial"/>
          <w:color w:val="auto"/>
          <w:sz w:val="22"/>
          <w:szCs w:val="22"/>
          <w:lang w:val="en-GB"/>
        </w:rPr>
        <w:t xml:space="preserve">In 2015 the share of women employed in </w:t>
      </w:r>
      <w:r w:rsidR="007D0110">
        <w:rPr>
          <w:rFonts w:ascii="Arial" w:eastAsiaTheme="minorHAnsi" w:hAnsi="Arial" w:cs="Arial"/>
          <w:color w:val="auto"/>
          <w:sz w:val="22"/>
          <w:szCs w:val="22"/>
          <w:lang w:val="en-GB"/>
        </w:rPr>
        <w:t>senior</w:t>
      </w:r>
      <w:r w:rsidR="00D83B68">
        <w:rPr>
          <w:rFonts w:ascii="Arial" w:eastAsiaTheme="minorHAnsi" w:hAnsi="Arial" w:cs="Arial"/>
          <w:color w:val="auto"/>
          <w:sz w:val="22"/>
          <w:szCs w:val="22"/>
          <w:lang w:val="en-GB"/>
        </w:rPr>
        <w:t xml:space="preserve"> management positions in the central government reached </w:t>
      </w:r>
      <w:r w:rsidR="00D83B68" w:rsidRPr="00107D5B">
        <w:rPr>
          <w:rFonts w:ascii="Arial" w:eastAsiaTheme="minorHAnsi" w:hAnsi="Arial" w:cs="Arial"/>
          <w:color w:val="auto"/>
          <w:sz w:val="22"/>
          <w:szCs w:val="22"/>
        </w:rPr>
        <w:t>45.35 %.</w:t>
      </w:r>
      <w:r w:rsidR="00D83B68">
        <w:rPr>
          <w:rStyle w:val="FootnoteReference"/>
          <w:rFonts w:ascii="Arial" w:eastAsiaTheme="minorHAnsi" w:hAnsi="Arial" w:cs="Arial"/>
          <w:color w:val="auto"/>
          <w:sz w:val="22"/>
          <w:szCs w:val="22"/>
          <w:lang w:val="it-IT"/>
        </w:rPr>
        <w:footnoteReference w:id="23"/>
      </w:r>
    </w:p>
    <w:p w14:paraId="723C9123" w14:textId="77777777" w:rsidR="00FF605C" w:rsidRPr="00F12204" w:rsidRDefault="00FF605C" w:rsidP="00830362">
      <w:pPr>
        <w:pStyle w:val="ListParagraph"/>
        <w:ind w:left="0" w:firstLine="0"/>
        <w:rPr>
          <w:rFonts w:ascii="Arial" w:eastAsiaTheme="minorHAnsi" w:hAnsi="Arial" w:cs="Arial"/>
          <w:color w:val="auto"/>
          <w:sz w:val="22"/>
          <w:szCs w:val="22"/>
          <w:highlight w:val="none"/>
          <w:lang w:val="en-GB"/>
        </w:rPr>
      </w:pPr>
    </w:p>
    <w:p w14:paraId="1898F1B0" w14:textId="77777777" w:rsidR="00FF605C" w:rsidRPr="0018618A" w:rsidRDefault="00FF605C" w:rsidP="00830362">
      <w:pPr>
        <w:pStyle w:val="ListParagraph"/>
        <w:ind w:left="0" w:firstLine="0"/>
        <w:rPr>
          <w:rFonts w:ascii="Arial" w:eastAsiaTheme="minorHAnsi" w:hAnsi="Arial" w:cs="Arial"/>
          <w:color w:val="auto"/>
          <w:sz w:val="22"/>
          <w:szCs w:val="22"/>
        </w:rPr>
      </w:pPr>
      <w:r w:rsidRPr="00F12204">
        <w:rPr>
          <w:rFonts w:ascii="Arial" w:eastAsiaTheme="minorHAnsi" w:hAnsi="Arial" w:cs="Arial"/>
          <w:color w:val="auto"/>
          <w:sz w:val="22"/>
          <w:szCs w:val="22"/>
          <w:highlight w:val="none"/>
          <w:lang w:val="en-GB"/>
        </w:rPr>
        <w:t>Since 2012, France</w:t>
      </w:r>
      <w:r w:rsidR="004B68BC" w:rsidRPr="00F12204">
        <w:rPr>
          <w:rFonts w:ascii="Arial" w:eastAsiaTheme="minorHAnsi" w:hAnsi="Arial" w:cs="Arial"/>
          <w:color w:val="auto"/>
          <w:sz w:val="22"/>
          <w:szCs w:val="22"/>
          <w:highlight w:val="none"/>
          <w:lang w:val="en-GB"/>
        </w:rPr>
        <w:t xml:space="preserve"> (</w:t>
      </w:r>
      <w:r w:rsidR="004B68BC" w:rsidRPr="00F12204">
        <w:rPr>
          <w:rFonts w:ascii="Arial" w:eastAsiaTheme="minorHAnsi" w:hAnsi="Arial" w:cs="Arial"/>
          <w:b/>
          <w:color w:val="auto"/>
          <w:sz w:val="22"/>
          <w:szCs w:val="22"/>
          <w:highlight w:val="none"/>
          <w:lang w:val="en-GB"/>
        </w:rPr>
        <w:t>ANNEX II</w:t>
      </w:r>
      <w:r w:rsidR="00122600" w:rsidRPr="00F12204">
        <w:rPr>
          <w:rFonts w:ascii="Arial" w:eastAsiaTheme="minorHAnsi" w:hAnsi="Arial" w:cs="Arial"/>
          <w:b/>
          <w:color w:val="auto"/>
          <w:sz w:val="22"/>
          <w:szCs w:val="22"/>
          <w:highlight w:val="none"/>
          <w:lang w:val="en-GB"/>
        </w:rPr>
        <w:t>I</w:t>
      </w:r>
      <w:r w:rsidR="006E1245" w:rsidRPr="00F12204">
        <w:rPr>
          <w:rFonts w:ascii="Arial" w:eastAsiaTheme="minorHAnsi" w:hAnsi="Arial" w:cs="Arial"/>
          <w:color w:val="auto"/>
          <w:sz w:val="22"/>
          <w:szCs w:val="22"/>
          <w:highlight w:val="none"/>
          <w:lang w:val="en-GB"/>
        </w:rPr>
        <w:t>)</w:t>
      </w:r>
      <w:r w:rsidRPr="00F12204">
        <w:rPr>
          <w:rFonts w:ascii="Arial" w:eastAsiaTheme="minorHAnsi" w:hAnsi="Arial" w:cs="Arial"/>
          <w:color w:val="auto"/>
          <w:sz w:val="22"/>
          <w:szCs w:val="22"/>
          <w:highlight w:val="none"/>
          <w:lang w:val="en-GB"/>
        </w:rPr>
        <w:t xml:space="preserve"> has also adopted a law imposing a 40% gender quota for </w:t>
      </w:r>
      <w:r w:rsidRPr="00F12204">
        <w:rPr>
          <w:rFonts w:ascii="Arial" w:eastAsiaTheme="minorHAnsi" w:hAnsi="Arial" w:cs="Arial"/>
          <w:color w:val="auto"/>
          <w:sz w:val="22"/>
          <w:szCs w:val="22"/>
          <w:highlight w:val="none"/>
          <w:lang w:val="en-AU"/>
        </w:rPr>
        <w:t>nominations to executive functions in the public service. This quota applies to all administrative and supervisory boards of public institutions</w:t>
      </w:r>
      <w:r w:rsidRPr="00FF605C">
        <w:rPr>
          <w:rFonts w:ascii="Arial" w:eastAsiaTheme="minorHAnsi" w:hAnsi="Arial" w:cs="Arial"/>
          <w:color w:val="auto"/>
          <w:sz w:val="22"/>
          <w:szCs w:val="22"/>
          <w:lang w:val="en-AU"/>
        </w:rPr>
        <w:t>, high councils, juries and selection committees in public service procedures.</w:t>
      </w:r>
      <w:r w:rsidR="006E1245" w:rsidRPr="00FF605C">
        <w:rPr>
          <w:rFonts w:ascii="Arial" w:eastAsiaTheme="minorHAnsi" w:hAnsi="Arial" w:cs="Arial"/>
          <w:color w:val="auto"/>
          <w:sz w:val="22"/>
          <w:szCs w:val="22"/>
          <w:vertAlign w:val="superscript"/>
          <w:lang w:val="en-AU"/>
        </w:rPr>
        <w:footnoteReference w:id="24"/>
      </w:r>
      <w:r w:rsidR="00F12204">
        <w:rPr>
          <w:rFonts w:ascii="Arial" w:eastAsiaTheme="minorHAnsi" w:hAnsi="Arial" w:cs="Arial"/>
          <w:color w:val="auto"/>
          <w:sz w:val="22"/>
          <w:szCs w:val="22"/>
          <w:lang w:val="en-AU"/>
        </w:rPr>
        <w:t xml:space="preserve"> </w:t>
      </w:r>
      <w:r w:rsidR="00A116AB">
        <w:rPr>
          <w:rFonts w:ascii="Arial" w:eastAsiaTheme="minorHAnsi" w:hAnsi="Arial" w:cs="Arial"/>
          <w:color w:val="auto"/>
          <w:sz w:val="22"/>
          <w:szCs w:val="22"/>
          <w:lang w:val="en-AU"/>
        </w:rPr>
        <w:t xml:space="preserve">According to the </w:t>
      </w:r>
      <w:r w:rsidR="00A116AB" w:rsidRPr="00A116AB">
        <w:rPr>
          <w:rFonts w:ascii="Arial" w:eastAsiaTheme="minorHAnsi" w:hAnsi="Arial" w:cs="Arial"/>
          <w:color w:val="auto"/>
          <w:sz w:val="22"/>
          <w:szCs w:val="22"/>
          <w:lang w:val="en-AU"/>
        </w:rPr>
        <w:t>European Parliament</w:t>
      </w:r>
      <w:r w:rsidR="00A116AB">
        <w:rPr>
          <w:rFonts w:ascii="Arial" w:eastAsiaTheme="minorHAnsi" w:hAnsi="Arial" w:cs="Arial"/>
          <w:color w:val="auto"/>
          <w:sz w:val="22"/>
          <w:szCs w:val="22"/>
          <w:lang w:val="en-AU"/>
        </w:rPr>
        <w:t>, r</w:t>
      </w:r>
      <w:r w:rsidRPr="00FF605C">
        <w:rPr>
          <w:rFonts w:ascii="Arial" w:eastAsiaTheme="minorHAnsi" w:hAnsi="Arial" w:cs="Arial"/>
          <w:color w:val="auto"/>
          <w:sz w:val="22"/>
          <w:szCs w:val="22"/>
          <w:lang w:val="en-AU"/>
        </w:rPr>
        <w:t>esults of the implementation of this quota have proven very positive, increasing the number of women in the administrative decision-making bodies.</w:t>
      </w:r>
      <w:r w:rsidRPr="00FF605C">
        <w:rPr>
          <w:rFonts w:ascii="Arial" w:eastAsiaTheme="minorHAnsi" w:hAnsi="Arial" w:cs="Arial"/>
          <w:color w:val="auto"/>
          <w:sz w:val="22"/>
          <w:szCs w:val="22"/>
          <w:vertAlign w:val="superscript"/>
          <w:lang w:val="en-AU"/>
        </w:rPr>
        <w:footnoteReference w:id="25"/>
      </w:r>
      <w:r w:rsidRPr="0018618A">
        <w:rPr>
          <w:rFonts w:ascii="Arial" w:eastAsiaTheme="minorHAnsi" w:hAnsi="Arial" w:cs="Arial"/>
          <w:color w:val="auto"/>
          <w:sz w:val="22"/>
          <w:szCs w:val="22"/>
        </w:rPr>
        <w:t xml:space="preserve"> </w:t>
      </w:r>
    </w:p>
    <w:p w14:paraId="3E7CBE16" w14:textId="77777777" w:rsidR="006E1245" w:rsidRPr="00A116AB" w:rsidRDefault="006E1245" w:rsidP="006E1245">
      <w:pPr>
        <w:pStyle w:val="ListParagraph"/>
        <w:ind w:firstLine="0"/>
        <w:rPr>
          <w:rFonts w:ascii="Arial" w:eastAsiaTheme="minorHAnsi" w:hAnsi="Arial" w:cs="Arial"/>
          <w:b/>
          <w:color w:val="auto"/>
          <w:sz w:val="22"/>
          <w:szCs w:val="22"/>
        </w:rPr>
      </w:pPr>
    </w:p>
    <w:p w14:paraId="529520F7" w14:textId="77777777" w:rsidR="00FF605C" w:rsidRPr="00FF605C" w:rsidRDefault="00FF605C" w:rsidP="00830362">
      <w:pPr>
        <w:pStyle w:val="ListParagraph"/>
        <w:ind w:left="0" w:firstLine="0"/>
        <w:rPr>
          <w:rFonts w:ascii="Arial" w:eastAsiaTheme="minorHAnsi" w:hAnsi="Arial" w:cs="Arial"/>
          <w:color w:val="auto"/>
          <w:sz w:val="22"/>
          <w:szCs w:val="22"/>
        </w:rPr>
      </w:pPr>
      <w:r w:rsidRPr="00FF605C">
        <w:rPr>
          <w:rFonts w:ascii="Arial" w:eastAsiaTheme="minorHAnsi" w:hAnsi="Arial" w:cs="Arial"/>
          <w:color w:val="auto"/>
          <w:sz w:val="22"/>
          <w:szCs w:val="22"/>
          <w:lang w:val="en-GB"/>
        </w:rPr>
        <w:t xml:space="preserve">Other examples of country legislations including gender quotas in governmental institutions are </w:t>
      </w:r>
      <w:r w:rsidRPr="00122600">
        <w:rPr>
          <w:rFonts w:ascii="Arial" w:eastAsiaTheme="minorHAnsi" w:hAnsi="Arial" w:cs="Arial"/>
          <w:color w:val="auto"/>
          <w:sz w:val="22"/>
          <w:szCs w:val="22"/>
          <w:lang w:val="en-GB"/>
        </w:rPr>
        <w:t>Albania</w:t>
      </w:r>
      <w:r w:rsidR="004B68BC">
        <w:rPr>
          <w:rFonts w:ascii="Arial" w:eastAsiaTheme="minorHAnsi" w:hAnsi="Arial" w:cs="Arial"/>
          <w:b/>
          <w:color w:val="auto"/>
          <w:sz w:val="22"/>
          <w:szCs w:val="22"/>
          <w:lang w:val="en-GB"/>
        </w:rPr>
        <w:t xml:space="preserve"> (ANNEX </w:t>
      </w:r>
      <w:r w:rsidR="006E1245">
        <w:rPr>
          <w:rFonts w:ascii="Arial" w:eastAsiaTheme="minorHAnsi" w:hAnsi="Arial" w:cs="Arial"/>
          <w:b/>
          <w:color w:val="auto"/>
          <w:sz w:val="22"/>
          <w:szCs w:val="22"/>
          <w:lang w:val="en-GB"/>
        </w:rPr>
        <w:t>I</w:t>
      </w:r>
      <w:r w:rsidR="008F0D9F">
        <w:rPr>
          <w:rFonts w:ascii="Arial" w:eastAsiaTheme="minorHAnsi" w:hAnsi="Arial" w:cs="Arial"/>
          <w:b/>
          <w:color w:val="auto"/>
          <w:sz w:val="22"/>
          <w:szCs w:val="22"/>
          <w:lang w:val="en-GB"/>
        </w:rPr>
        <w:t>I</w:t>
      </w:r>
      <w:r w:rsidR="00122600">
        <w:rPr>
          <w:rFonts w:ascii="Arial" w:eastAsiaTheme="minorHAnsi" w:hAnsi="Arial" w:cs="Arial"/>
          <w:b/>
          <w:color w:val="auto"/>
          <w:sz w:val="22"/>
          <w:szCs w:val="22"/>
          <w:lang w:val="en-GB"/>
        </w:rPr>
        <w:t>I</w:t>
      </w:r>
      <w:r w:rsidR="006E1245">
        <w:rPr>
          <w:rFonts w:ascii="Arial" w:eastAsiaTheme="minorHAnsi" w:hAnsi="Arial" w:cs="Arial"/>
          <w:b/>
          <w:color w:val="auto"/>
          <w:sz w:val="22"/>
          <w:szCs w:val="22"/>
          <w:lang w:val="en-GB"/>
        </w:rPr>
        <w:t>)</w:t>
      </w:r>
      <w:r w:rsidRPr="00FF605C">
        <w:rPr>
          <w:rFonts w:ascii="Arial" w:eastAsiaTheme="minorHAnsi" w:hAnsi="Arial" w:cs="Arial"/>
          <w:b/>
          <w:color w:val="auto"/>
          <w:sz w:val="22"/>
          <w:szCs w:val="22"/>
          <w:lang w:val="en-GB"/>
        </w:rPr>
        <w:t xml:space="preserve"> </w:t>
      </w:r>
      <w:r w:rsidRPr="00FF605C">
        <w:rPr>
          <w:rFonts w:ascii="Arial" w:eastAsiaTheme="minorHAnsi" w:hAnsi="Arial" w:cs="Arial"/>
          <w:color w:val="auto"/>
          <w:sz w:val="22"/>
          <w:szCs w:val="22"/>
          <w:lang w:val="en-GB"/>
        </w:rPr>
        <w:t xml:space="preserve">and </w:t>
      </w:r>
      <w:r w:rsidRPr="00122600">
        <w:rPr>
          <w:rFonts w:ascii="Arial" w:eastAsiaTheme="minorHAnsi" w:hAnsi="Arial" w:cs="Arial"/>
          <w:color w:val="auto"/>
          <w:sz w:val="22"/>
          <w:szCs w:val="22"/>
          <w:lang w:val="en-GB"/>
        </w:rPr>
        <w:t>Bosnia Herzegovina</w:t>
      </w:r>
      <w:r w:rsidR="004B68BC">
        <w:rPr>
          <w:rFonts w:ascii="Arial" w:eastAsiaTheme="minorHAnsi" w:hAnsi="Arial" w:cs="Arial"/>
          <w:b/>
          <w:color w:val="auto"/>
          <w:sz w:val="22"/>
          <w:szCs w:val="22"/>
          <w:lang w:val="en-GB"/>
        </w:rPr>
        <w:t xml:space="preserve"> (ANNEX </w:t>
      </w:r>
      <w:r w:rsidR="00122600">
        <w:rPr>
          <w:rFonts w:ascii="Arial" w:eastAsiaTheme="minorHAnsi" w:hAnsi="Arial" w:cs="Arial"/>
          <w:b/>
          <w:color w:val="auto"/>
          <w:sz w:val="22"/>
          <w:szCs w:val="22"/>
          <w:lang w:val="en-GB"/>
        </w:rPr>
        <w:t>I</w:t>
      </w:r>
      <w:r w:rsidR="006E1245">
        <w:rPr>
          <w:rFonts w:ascii="Arial" w:eastAsiaTheme="minorHAnsi" w:hAnsi="Arial" w:cs="Arial"/>
          <w:b/>
          <w:color w:val="auto"/>
          <w:sz w:val="22"/>
          <w:szCs w:val="22"/>
          <w:lang w:val="en-GB"/>
        </w:rPr>
        <w:t>I</w:t>
      </w:r>
      <w:r w:rsidR="008F0D9F">
        <w:rPr>
          <w:rFonts w:ascii="Arial" w:eastAsiaTheme="minorHAnsi" w:hAnsi="Arial" w:cs="Arial"/>
          <w:b/>
          <w:color w:val="auto"/>
          <w:sz w:val="22"/>
          <w:szCs w:val="22"/>
          <w:lang w:val="en-GB"/>
        </w:rPr>
        <w:t>I</w:t>
      </w:r>
      <w:r w:rsidR="006E1245">
        <w:rPr>
          <w:rFonts w:ascii="Arial" w:eastAsiaTheme="minorHAnsi" w:hAnsi="Arial" w:cs="Arial"/>
          <w:b/>
          <w:color w:val="auto"/>
          <w:sz w:val="22"/>
          <w:szCs w:val="22"/>
          <w:lang w:val="en-GB"/>
        </w:rPr>
        <w:t>)</w:t>
      </w:r>
      <w:r w:rsidRPr="00FF605C">
        <w:rPr>
          <w:rFonts w:ascii="Arial" w:eastAsiaTheme="minorHAnsi" w:hAnsi="Arial" w:cs="Arial"/>
          <w:color w:val="auto"/>
          <w:sz w:val="22"/>
          <w:szCs w:val="22"/>
          <w:lang w:val="en-GB"/>
        </w:rPr>
        <w:t>. Albania’s law mandates an equal gender representation in all legislative, executive and judicial power bodies which is achieved when at least 30% of both sexes is ensured.</w:t>
      </w:r>
      <w:r w:rsidRPr="00FF605C">
        <w:rPr>
          <w:rFonts w:ascii="Arial" w:eastAsiaTheme="minorHAnsi" w:hAnsi="Arial" w:cs="Arial"/>
          <w:color w:val="auto"/>
          <w:sz w:val="22"/>
          <w:szCs w:val="22"/>
          <w:vertAlign w:val="superscript"/>
          <w:lang w:val="en-GB"/>
        </w:rPr>
        <w:footnoteReference w:id="26"/>
      </w:r>
      <w:r w:rsidRPr="00FF605C">
        <w:rPr>
          <w:rFonts w:ascii="Arial" w:eastAsiaTheme="minorHAnsi" w:hAnsi="Arial" w:cs="Arial"/>
          <w:color w:val="auto"/>
          <w:sz w:val="22"/>
          <w:szCs w:val="22"/>
          <w:lang w:val="en-GB"/>
        </w:rPr>
        <w:t xml:space="preserve"> A quota of 40% is established in Bosnia and Herzegovina, with respect to </w:t>
      </w:r>
      <w:r w:rsidRPr="00FF605C">
        <w:rPr>
          <w:rFonts w:ascii="Arial" w:eastAsiaTheme="minorHAnsi" w:hAnsi="Arial" w:cs="Arial"/>
          <w:bCs/>
          <w:color w:val="auto"/>
          <w:sz w:val="22"/>
          <w:szCs w:val="22"/>
        </w:rPr>
        <w:t>state bodies at all levels of organizations of authorities, and local governmental bodies, including legislative, executive and judicial authorities, political parties</w:t>
      </w:r>
      <w:r w:rsidR="003F4F2D">
        <w:rPr>
          <w:rFonts w:ascii="Arial" w:eastAsiaTheme="minorHAnsi" w:hAnsi="Arial" w:cs="Arial"/>
          <w:bCs/>
          <w:color w:val="auto"/>
          <w:sz w:val="22"/>
          <w:szCs w:val="22"/>
        </w:rPr>
        <w:t xml:space="preserve"> and </w:t>
      </w:r>
      <w:r w:rsidR="003F4F2D" w:rsidRPr="00FF605C">
        <w:rPr>
          <w:rFonts w:ascii="Arial" w:eastAsiaTheme="minorHAnsi" w:hAnsi="Arial" w:cs="Arial"/>
          <w:bCs/>
          <w:color w:val="auto"/>
          <w:sz w:val="22"/>
          <w:szCs w:val="22"/>
        </w:rPr>
        <w:t xml:space="preserve"> </w:t>
      </w:r>
      <w:r w:rsidRPr="00FF605C">
        <w:rPr>
          <w:rFonts w:ascii="Arial" w:eastAsiaTheme="minorHAnsi" w:hAnsi="Arial" w:cs="Arial"/>
          <w:bCs/>
          <w:color w:val="auto"/>
          <w:sz w:val="22"/>
          <w:szCs w:val="22"/>
        </w:rPr>
        <w:t>legal persons with public authorities,.</w:t>
      </w:r>
      <w:r w:rsidRPr="00FF605C">
        <w:rPr>
          <w:rFonts w:ascii="Arial" w:eastAsiaTheme="minorHAnsi" w:hAnsi="Arial" w:cs="Arial"/>
          <w:bCs/>
          <w:color w:val="auto"/>
          <w:sz w:val="22"/>
          <w:szCs w:val="22"/>
          <w:vertAlign w:val="superscript"/>
        </w:rPr>
        <w:footnoteReference w:id="27"/>
      </w:r>
      <w:r w:rsidRPr="00FF605C">
        <w:rPr>
          <w:rFonts w:ascii="Arial" w:eastAsiaTheme="minorHAnsi" w:hAnsi="Arial" w:cs="Arial"/>
          <w:color w:val="auto"/>
          <w:sz w:val="22"/>
          <w:szCs w:val="22"/>
          <w:lang w:val="en-GB"/>
        </w:rPr>
        <w:t xml:space="preserve"> </w:t>
      </w:r>
    </w:p>
    <w:p w14:paraId="3E1E8ECE" w14:textId="77777777" w:rsidR="00FF605C" w:rsidRPr="00FF605C" w:rsidRDefault="00FF605C" w:rsidP="00830362">
      <w:pPr>
        <w:pStyle w:val="ListParagraph"/>
        <w:ind w:left="0" w:firstLine="0"/>
        <w:rPr>
          <w:rFonts w:ascii="Arial" w:eastAsiaTheme="minorHAnsi" w:hAnsi="Arial" w:cs="Arial"/>
          <w:color w:val="auto"/>
          <w:sz w:val="22"/>
          <w:szCs w:val="22"/>
          <w:lang w:val="en-GB"/>
        </w:rPr>
      </w:pPr>
    </w:p>
    <w:p w14:paraId="35593DF8" w14:textId="72024805" w:rsidR="006E1245" w:rsidRPr="00830362" w:rsidRDefault="003F4F2D" w:rsidP="00830362">
      <w:pPr>
        <w:ind w:left="0" w:firstLine="0"/>
        <w:rPr>
          <w:rFonts w:ascii="Arial" w:eastAsiaTheme="minorHAnsi" w:hAnsi="Arial" w:cs="Arial"/>
          <w:color w:val="auto"/>
          <w:sz w:val="22"/>
          <w:szCs w:val="22"/>
          <w:lang w:val="en-GB"/>
        </w:rPr>
      </w:pPr>
      <w:r>
        <w:rPr>
          <w:rFonts w:ascii="Arial" w:eastAsiaTheme="minorHAnsi" w:hAnsi="Arial" w:cs="Arial"/>
          <w:b/>
          <w:color w:val="auto"/>
          <w:sz w:val="22"/>
          <w:szCs w:val="22"/>
          <w:lang w:val="en-GB"/>
        </w:rPr>
        <w:t xml:space="preserve">In summary, </w:t>
      </w:r>
      <w:r w:rsidR="00A236C8" w:rsidRPr="00830362">
        <w:rPr>
          <w:rFonts w:ascii="Arial" w:eastAsiaTheme="minorHAnsi" w:hAnsi="Arial" w:cs="Arial"/>
          <w:b/>
          <w:color w:val="auto"/>
          <w:sz w:val="22"/>
          <w:szCs w:val="22"/>
          <w:lang w:val="en-GB"/>
        </w:rPr>
        <w:t>Pr</w:t>
      </w:r>
      <w:r w:rsidR="00FF605C" w:rsidRPr="00830362">
        <w:rPr>
          <w:rFonts w:ascii="Arial" w:eastAsiaTheme="minorHAnsi" w:hAnsi="Arial" w:cs="Arial"/>
          <w:b/>
          <w:color w:val="auto"/>
          <w:sz w:val="22"/>
          <w:szCs w:val="22"/>
          <w:lang w:val="en-GB"/>
        </w:rPr>
        <w:t xml:space="preserve">oxy </w:t>
      </w:r>
      <w:r w:rsidR="00A236C8" w:rsidRPr="00830362">
        <w:rPr>
          <w:rFonts w:ascii="Arial" w:eastAsiaTheme="minorHAnsi" w:hAnsi="Arial" w:cs="Arial"/>
          <w:b/>
          <w:color w:val="auto"/>
          <w:sz w:val="22"/>
          <w:szCs w:val="22"/>
          <w:lang w:val="en-GB"/>
        </w:rPr>
        <w:t xml:space="preserve">F </w:t>
      </w:r>
      <w:r w:rsidR="00FF605C" w:rsidRPr="00830362">
        <w:rPr>
          <w:rFonts w:ascii="Arial" w:eastAsiaTheme="minorHAnsi" w:hAnsi="Arial" w:cs="Arial"/>
          <w:b/>
          <w:color w:val="auto"/>
          <w:sz w:val="22"/>
          <w:szCs w:val="22"/>
          <w:lang w:val="en-GB"/>
        </w:rPr>
        <w:t>is universally applicable.</w:t>
      </w:r>
      <w:r w:rsidR="00FF605C" w:rsidRPr="00830362">
        <w:rPr>
          <w:rFonts w:ascii="Arial" w:eastAsiaTheme="minorHAnsi" w:hAnsi="Arial" w:cs="Arial"/>
          <w:color w:val="auto"/>
          <w:sz w:val="22"/>
          <w:szCs w:val="22"/>
          <w:lang w:val="en-GB"/>
        </w:rPr>
        <w:t xml:space="preserve"> In order to satisfy the proxy it is sufficient that the Constitution or gender equality legislation mandates a quota for the participation of women with respect to all governmental institutions and even at all levels of government (state/provincial). In these cases the proxy is present given that it will also cover land institutions, which are governmental bodies.</w:t>
      </w:r>
      <w:r w:rsidR="006E1245" w:rsidRPr="00830362">
        <w:rPr>
          <w:rFonts w:ascii="Arial" w:eastAsiaTheme="minorHAnsi" w:hAnsi="Arial" w:cs="Arial"/>
          <w:color w:val="auto"/>
          <w:sz w:val="22"/>
          <w:szCs w:val="22"/>
          <w:lang w:val="en-GB"/>
        </w:rPr>
        <w:t xml:space="preserve"> Examples of provisions that will satisfy the proxy </w:t>
      </w:r>
      <w:r>
        <w:rPr>
          <w:rFonts w:ascii="Arial" w:eastAsiaTheme="minorHAnsi" w:hAnsi="Arial" w:cs="Arial"/>
          <w:color w:val="auto"/>
          <w:sz w:val="22"/>
          <w:szCs w:val="22"/>
          <w:lang w:val="en-GB"/>
        </w:rPr>
        <w:t>include:</w:t>
      </w:r>
    </w:p>
    <w:p w14:paraId="3BAB115C" w14:textId="77777777" w:rsidR="006E1245" w:rsidRPr="006E1245" w:rsidRDefault="006E1245" w:rsidP="00830362">
      <w:pPr>
        <w:pStyle w:val="ListParagraph"/>
        <w:ind w:left="0" w:firstLine="0"/>
        <w:rPr>
          <w:rFonts w:ascii="Arial" w:eastAsiaTheme="minorHAnsi" w:hAnsi="Arial" w:cs="Arial"/>
          <w:color w:val="auto"/>
          <w:sz w:val="22"/>
          <w:szCs w:val="22"/>
          <w:lang w:val="en-GB"/>
        </w:rPr>
      </w:pPr>
      <w:r>
        <w:rPr>
          <w:rFonts w:ascii="Arial" w:eastAsiaTheme="minorHAnsi" w:hAnsi="Arial" w:cs="Arial"/>
          <w:color w:val="auto"/>
          <w:sz w:val="22"/>
          <w:szCs w:val="22"/>
          <w:lang w:val="en-GB"/>
        </w:rPr>
        <w:t xml:space="preserve">- </w:t>
      </w:r>
      <w:r w:rsidRPr="006E1245">
        <w:rPr>
          <w:rFonts w:ascii="Arial" w:eastAsiaTheme="minorHAnsi" w:hAnsi="Arial" w:cs="Arial"/>
          <w:color w:val="auto"/>
          <w:sz w:val="22"/>
          <w:szCs w:val="22"/>
          <w:lang w:val="en-GB"/>
        </w:rPr>
        <w:t xml:space="preserve">a Constitutional provision which states that no elected or appointed body may be made up of more than X/Y members of one gender; </w:t>
      </w:r>
    </w:p>
    <w:p w14:paraId="2CC5CE17" w14:textId="6E4A494A" w:rsidR="003F4F2D" w:rsidRDefault="006E1245" w:rsidP="00830362">
      <w:pPr>
        <w:pStyle w:val="ListParagraph"/>
        <w:ind w:left="0" w:firstLine="0"/>
        <w:rPr>
          <w:rFonts w:ascii="Arial" w:eastAsiaTheme="minorHAnsi" w:hAnsi="Arial" w:cs="Arial"/>
          <w:color w:val="auto"/>
          <w:sz w:val="22"/>
          <w:szCs w:val="22"/>
          <w:lang w:val="en-AU"/>
        </w:rPr>
      </w:pPr>
      <w:r>
        <w:rPr>
          <w:rFonts w:ascii="Arial" w:eastAsiaTheme="minorHAnsi" w:hAnsi="Arial" w:cs="Arial"/>
          <w:color w:val="auto"/>
          <w:sz w:val="22"/>
          <w:szCs w:val="22"/>
          <w:lang w:val="en-AU"/>
        </w:rPr>
        <w:t xml:space="preserve">- </w:t>
      </w:r>
      <w:r w:rsidR="000D43C1">
        <w:rPr>
          <w:rFonts w:ascii="Arial" w:eastAsiaTheme="minorHAnsi" w:hAnsi="Arial" w:cs="Arial"/>
          <w:color w:val="auto"/>
          <w:sz w:val="22"/>
          <w:szCs w:val="22"/>
          <w:lang w:val="en-AU"/>
        </w:rPr>
        <w:t xml:space="preserve">legal </w:t>
      </w:r>
      <w:r w:rsidRPr="006E1245">
        <w:rPr>
          <w:rFonts w:ascii="Arial" w:eastAsiaTheme="minorHAnsi" w:hAnsi="Arial" w:cs="Arial"/>
          <w:color w:val="auto"/>
          <w:sz w:val="22"/>
          <w:szCs w:val="22"/>
          <w:lang w:val="en-AU"/>
        </w:rPr>
        <w:t xml:space="preserve">provisions requiring that all state bodies at each level of decision-making shall ensure that women hold at least x per cent of positions. </w:t>
      </w:r>
    </w:p>
    <w:p w14:paraId="3B800FC3" w14:textId="77777777" w:rsidR="005E0234" w:rsidRPr="00A202C6" w:rsidRDefault="005E0234" w:rsidP="00E332C5">
      <w:pPr>
        <w:widowControl w:val="0"/>
        <w:ind w:left="0" w:firstLine="0"/>
        <w:contextualSpacing w:val="0"/>
        <w:rPr>
          <w:rFonts w:ascii="Arial" w:hAnsi="Arial" w:cs="Arial"/>
          <w:color w:val="auto"/>
          <w:sz w:val="22"/>
          <w:szCs w:val="22"/>
        </w:rPr>
      </w:pPr>
    </w:p>
    <w:p w14:paraId="6C29A258" w14:textId="77777777" w:rsidR="007C59F1" w:rsidRPr="007C59F1" w:rsidRDefault="007C59F1" w:rsidP="007C59F1">
      <w:pPr>
        <w:widowControl w:val="0"/>
        <w:ind w:left="0" w:firstLine="0"/>
        <w:contextualSpacing w:val="0"/>
        <w:rPr>
          <w:rFonts w:ascii="Arial" w:hAnsi="Arial" w:cs="Arial"/>
          <w:color w:val="000000" w:themeColor="text1"/>
          <w:sz w:val="22"/>
          <w:szCs w:val="22"/>
          <w:lang w:val="en-AU"/>
        </w:rPr>
      </w:pPr>
      <w:r w:rsidRPr="007C59F1">
        <w:rPr>
          <w:rFonts w:ascii="Arial" w:hAnsi="Arial" w:cs="Arial"/>
          <w:color w:val="000000" w:themeColor="text1"/>
          <w:sz w:val="22"/>
          <w:szCs w:val="22"/>
          <w:lang w:val="en-AU"/>
        </w:rPr>
        <w:t>Coherently with the conditional nature of this proxy, countries that can demonstrate the achievement of gender equality in terms of land ownership, do not need to report on the adoption of such measures. It will be acceptable that the percentage of women land owners (</w:t>
      </w:r>
      <w:r>
        <w:rPr>
          <w:rFonts w:ascii="Arial" w:hAnsi="Arial" w:cs="Arial"/>
          <w:color w:val="000000" w:themeColor="text1"/>
          <w:sz w:val="22"/>
          <w:szCs w:val="22"/>
          <w:lang w:val="en-AU"/>
        </w:rPr>
        <w:t xml:space="preserve">according to </w:t>
      </w:r>
      <w:r w:rsidRPr="007C59F1">
        <w:rPr>
          <w:rFonts w:ascii="Arial" w:hAnsi="Arial" w:cs="Arial"/>
          <w:color w:val="000000" w:themeColor="text1"/>
          <w:sz w:val="22"/>
          <w:szCs w:val="22"/>
          <w:lang w:val="en-AU"/>
        </w:rPr>
        <w:t xml:space="preserve">SDG </w:t>
      </w:r>
      <w:r>
        <w:rPr>
          <w:rFonts w:ascii="Arial" w:hAnsi="Arial" w:cs="Arial"/>
          <w:color w:val="000000" w:themeColor="text1"/>
          <w:sz w:val="22"/>
          <w:szCs w:val="22"/>
          <w:lang w:val="en-AU"/>
        </w:rPr>
        <w:t xml:space="preserve">indicator </w:t>
      </w:r>
      <w:r w:rsidRPr="007C59F1">
        <w:rPr>
          <w:rFonts w:ascii="Arial" w:hAnsi="Arial" w:cs="Arial"/>
          <w:color w:val="000000" w:themeColor="text1"/>
          <w:sz w:val="22"/>
          <w:szCs w:val="22"/>
          <w:lang w:val="en-AU"/>
        </w:rPr>
        <w:t>1.4.2 or 5.a.1) is equal to or greater than 40%</w:t>
      </w:r>
      <w:r>
        <w:rPr>
          <w:rFonts w:ascii="Arial" w:hAnsi="Arial" w:cs="Arial"/>
          <w:color w:val="000000" w:themeColor="text1"/>
          <w:sz w:val="22"/>
          <w:szCs w:val="22"/>
          <w:lang w:val="en-AU"/>
        </w:rPr>
        <w:t>.</w:t>
      </w:r>
      <w:r w:rsidRPr="007C59F1">
        <w:rPr>
          <w:rFonts w:ascii="Arial" w:hAnsi="Arial" w:cs="Arial"/>
          <w:color w:val="000000" w:themeColor="text1"/>
          <w:sz w:val="22"/>
          <w:szCs w:val="22"/>
          <w:lang w:val="en-AU"/>
        </w:rPr>
        <w:t xml:space="preserve"> </w:t>
      </w:r>
    </w:p>
    <w:p w14:paraId="2C528F08" w14:textId="77777777" w:rsidR="00E332C5" w:rsidRPr="00C2293E" w:rsidRDefault="00E332C5" w:rsidP="00E332C5">
      <w:pPr>
        <w:widowControl w:val="0"/>
        <w:ind w:left="0" w:firstLine="0"/>
        <w:contextualSpacing w:val="0"/>
        <w:rPr>
          <w:rFonts w:ascii="Arial" w:hAnsi="Arial" w:cs="Arial"/>
          <w:color w:val="2F5496" w:themeColor="accent5" w:themeShade="BF"/>
          <w:sz w:val="22"/>
          <w:szCs w:val="22"/>
        </w:rPr>
      </w:pPr>
    </w:p>
    <w:p w14:paraId="7645E4B1" w14:textId="7A8DEDB5" w:rsidR="007C59F1" w:rsidRDefault="007C59F1">
      <w:pPr>
        <w:rPr>
          <w:rFonts w:ascii="Arial" w:hAnsi="Arial" w:cs="Arial"/>
          <w:color w:val="2F5496" w:themeColor="accent5" w:themeShade="BF"/>
          <w:sz w:val="24"/>
          <w:szCs w:val="24"/>
        </w:rPr>
      </w:pPr>
      <w:r>
        <w:rPr>
          <w:rFonts w:ascii="Arial" w:hAnsi="Arial" w:cs="Arial"/>
          <w:color w:val="2F5496" w:themeColor="accent5" w:themeShade="BF"/>
          <w:sz w:val="24"/>
          <w:szCs w:val="24"/>
        </w:rPr>
        <w:br w:type="page"/>
      </w:r>
    </w:p>
    <w:p w14:paraId="31E53117" w14:textId="77777777" w:rsidR="005E0234" w:rsidRPr="00D528E0" w:rsidRDefault="005E0234">
      <w:pPr>
        <w:widowControl w:val="0"/>
        <w:contextualSpacing w:val="0"/>
        <w:rPr>
          <w:rFonts w:ascii="Arial" w:hAnsi="Arial" w:cs="Arial"/>
          <w:color w:val="2F5496" w:themeColor="accent5" w:themeShade="BF"/>
          <w:sz w:val="24"/>
          <w:szCs w:val="24"/>
        </w:rPr>
      </w:pPr>
    </w:p>
    <w:p w14:paraId="726362BE" w14:textId="77777777" w:rsidR="0063176D" w:rsidRPr="00F91325" w:rsidRDefault="001F687B" w:rsidP="00F91325">
      <w:pPr>
        <w:pStyle w:val="ListParagraph"/>
        <w:widowControl w:val="0"/>
        <w:numPr>
          <w:ilvl w:val="0"/>
          <w:numId w:val="27"/>
        </w:numPr>
        <w:ind w:left="360"/>
        <w:contextualSpacing w:val="0"/>
        <w:rPr>
          <w:rFonts w:ascii="Arial" w:hAnsi="Arial" w:cs="Arial"/>
          <w:color w:val="5B9BD5" w:themeColor="accent1"/>
          <w:sz w:val="24"/>
          <w:szCs w:val="24"/>
        </w:rPr>
      </w:pPr>
      <w:r w:rsidRPr="00F91325">
        <w:rPr>
          <w:rFonts w:ascii="Arial" w:hAnsi="Arial" w:cs="Arial"/>
          <w:b/>
          <w:color w:val="5B9BD5" w:themeColor="accent1"/>
          <w:sz w:val="24"/>
          <w:szCs w:val="24"/>
        </w:rPr>
        <w:t>C</w:t>
      </w:r>
      <w:r w:rsidR="0003620B" w:rsidRPr="00F91325">
        <w:rPr>
          <w:rFonts w:ascii="Arial" w:hAnsi="Arial" w:cs="Arial"/>
          <w:b/>
          <w:color w:val="5B9BD5" w:themeColor="accent1"/>
          <w:sz w:val="24"/>
          <w:szCs w:val="24"/>
        </w:rPr>
        <w:t>onclusions</w:t>
      </w:r>
    </w:p>
    <w:p w14:paraId="69D00A62" w14:textId="77777777" w:rsidR="0063176D" w:rsidRPr="00B4270F" w:rsidRDefault="0063176D">
      <w:pPr>
        <w:widowControl w:val="0"/>
        <w:contextualSpacing w:val="0"/>
        <w:rPr>
          <w:rFonts w:ascii="Arial" w:hAnsi="Arial" w:cs="Arial"/>
          <w:color w:val="000000" w:themeColor="text1"/>
          <w:sz w:val="22"/>
          <w:szCs w:val="22"/>
        </w:rPr>
      </w:pPr>
    </w:p>
    <w:p w14:paraId="6D2B3913" w14:textId="4BBB0225" w:rsidR="002951AE" w:rsidRDefault="006E1245" w:rsidP="00862CFE">
      <w:pPr>
        <w:widowControl w:val="0"/>
        <w:ind w:left="0" w:firstLine="0"/>
        <w:contextualSpacing w:val="0"/>
        <w:rPr>
          <w:rFonts w:ascii="Arial" w:hAnsi="Arial" w:cs="Arial"/>
          <w:color w:val="000000" w:themeColor="text1"/>
          <w:sz w:val="22"/>
          <w:szCs w:val="22"/>
        </w:rPr>
      </w:pPr>
      <w:r>
        <w:rPr>
          <w:rFonts w:ascii="Arial" w:hAnsi="Arial" w:cs="Arial"/>
          <w:color w:val="000000" w:themeColor="text1"/>
          <w:sz w:val="22"/>
          <w:szCs w:val="22"/>
        </w:rPr>
        <w:t>Prox</w:t>
      </w:r>
      <w:r w:rsidR="003F4F2D">
        <w:rPr>
          <w:rFonts w:ascii="Arial" w:hAnsi="Arial" w:cs="Arial"/>
          <w:color w:val="000000" w:themeColor="text1"/>
          <w:sz w:val="22"/>
          <w:szCs w:val="22"/>
        </w:rPr>
        <w:t>ies</w:t>
      </w:r>
      <w:r>
        <w:rPr>
          <w:rFonts w:ascii="Arial" w:hAnsi="Arial" w:cs="Arial"/>
          <w:color w:val="000000" w:themeColor="text1"/>
          <w:sz w:val="22"/>
          <w:szCs w:val="22"/>
        </w:rPr>
        <w:t xml:space="preserve"> A, D and F</w:t>
      </w:r>
      <w:r w:rsidR="003F4F2D">
        <w:rPr>
          <w:rFonts w:ascii="Arial" w:hAnsi="Arial" w:cs="Arial"/>
          <w:color w:val="000000" w:themeColor="text1"/>
          <w:sz w:val="22"/>
          <w:szCs w:val="22"/>
        </w:rPr>
        <w:t xml:space="preserve"> of the SDG Indicator 5.a.2 methodology on Women’s Land Rights in the Law</w:t>
      </w:r>
      <w:r>
        <w:rPr>
          <w:rFonts w:ascii="Arial" w:hAnsi="Arial" w:cs="Arial"/>
          <w:color w:val="000000" w:themeColor="text1"/>
          <w:sz w:val="22"/>
          <w:szCs w:val="22"/>
        </w:rPr>
        <w:t xml:space="preserve"> are </w:t>
      </w:r>
      <w:r w:rsidR="00F91325">
        <w:rPr>
          <w:rFonts w:ascii="Arial" w:hAnsi="Arial" w:cs="Arial"/>
          <w:color w:val="000000" w:themeColor="text1"/>
          <w:sz w:val="22"/>
          <w:szCs w:val="22"/>
        </w:rPr>
        <w:t xml:space="preserve">in principle </w:t>
      </w:r>
      <w:r>
        <w:rPr>
          <w:rFonts w:ascii="Arial" w:hAnsi="Arial" w:cs="Arial"/>
          <w:color w:val="000000" w:themeColor="text1"/>
          <w:sz w:val="22"/>
          <w:szCs w:val="22"/>
        </w:rPr>
        <w:t xml:space="preserve">applicable to all countries, </w:t>
      </w:r>
      <w:r w:rsidR="009865E2">
        <w:rPr>
          <w:rFonts w:ascii="Arial" w:hAnsi="Arial" w:cs="Arial"/>
          <w:color w:val="000000" w:themeColor="text1"/>
          <w:sz w:val="22"/>
          <w:szCs w:val="22"/>
        </w:rPr>
        <w:t>including</w:t>
      </w:r>
      <w:r>
        <w:rPr>
          <w:rFonts w:ascii="Arial" w:hAnsi="Arial" w:cs="Arial"/>
          <w:color w:val="000000" w:themeColor="text1"/>
          <w:sz w:val="22"/>
          <w:szCs w:val="22"/>
        </w:rPr>
        <w:t xml:space="preserve"> those</w:t>
      </w:r>
      <w:r w:rsidR="009865E2">
        <w:rPr>
          <w:rFonts w:ascii="Arial" w:hAnsi="Arial" w:cs="Arial"/>
          <w:color w:val="000000" w:themeColor="text1"/>
          <w:sz w:val="22"/>
          <w:szCs w:val="22"/>
        </w:rPr>
        <w:t xml:space="preserve"> </w:t>
      </w:r>
      <w:r w:rsidR="002951AE">
        <w:rPr>
          <w:rFonts w:ascii="Arial" w:hAnsi="Arial" w:cs="Arial"/>
          <w:color w:val="000000" w:themeColor="text1"/>
          <w:sz w:val="22"/>
          <w:szCs w:val="22"/>
        </w:rPr>
        <w:t>that</w:t>
      </w:r>
      <w:r w:rsidR="009865E2">
        <w:rPr>
          <w:rFonts w:ascii="Arial" w:hAnsi="Arial" w:cs="Arial"/>
          <w:color w:val="000000" w:themeColor="text1"/>
          <w:sz w:val="22"/>
          <w:szCs w:val="22"/>
        </w:rPr>
        <w:t xml:space="preserve"> have achieved an advanced</w:t>
      </w:r>
      <w:r>
        <w:rPr>
          <w:rFonts w:ascii="Arial" w:hAnsi="Arial" w:cs="Arial"/>
          <w:color w:val="000000" w:themeColor="text1"/>
          <w:sz w:val="22"/>
          <w:szCs w:val="22"/>
        </w:rPr>
        <w:t xml:space="preserve"> level of economic development</w:t>
      </w:r>
      <w:r w:rsidR="008B0029">
        <w:rPr>
          <w:rFonts w:ascii="Arial" w:hAnsi="Arial" w:cs="Arial"/>
          <w:color w:val="000000" w:themeColor="text1"/>
          <w:sz w:val="22"/>
          <w:szCs w:val="22"/>
        </w:rPr>
        <w:t xml:space="preserve">. </w:t>
      </w:r>
      <w:r w:rsidR="00A202C6">
        <w:rPr>
          <w:rFonts w:ascii="Arial" w:hAnsi="Arial" w:cs="Arial"/>
          <w:color w:val="000000" w:themeColor="text1"/>
          <w:sz w:val="22"/>
          <w:szCs w:val="22"/>
        </w:rPr>
        <w:t>Specifically</w:t>
      </w:r>
      <w:r w:rsidR="00F91325">
        <w:rPr>
          <w:rFonts w:ascii="Arial" w:hAnsi="Arial" w:cs="Arial"/>
          <w:color w:val="000000" w:themeColor="text1"/>
          <w:sz w:val="22"/>
          <w:szCs w:val="22"/>
        </w:rPr>
        <w:t>,</w:t>
      </w:r>
      <w:r w:rsidR="00A202C6">
        <w:rPr>
          <w:rFonts w:ascii="Arial" w:hAnsi="Arial" w:cs="Arial"/>
          <w:color w:val="000000" w:themeColor="text1"/>
          <w:sz w:val="22"/>
          <w:szCs w:val="22"/>
        </w:rPr>
        <w:t xml:space="preserve"> Proxies</w:t>
      </w:r>
      <w:r w:rsidR="00E332C5">
        <w:rPr>
          <w:rFonts w:ascii="Arial" w:hAnsi="Arial" w:cs="Arial"/>
          <w:color w:val="000000" w:themeColor="text1"/>
          <w:sz w:val="22"/>
          <w:szCs w:val="22"/>
        </w:rPr>
        <w:t xml:space="preserve"> D and F</w:t>
      </w:r>
      <w:r w:rsidR="00CB7DAB">
        <w:rPr>
          <w:rFonts w:ascii="Arial" w:hAnsi="Arial" w:cs="Arial"/>
          <w:color w:val="000000" w:themeColor="text1"/>
          <w:sz w:val="22"/>
          <w:szCs w:val="22"/>
        </w:rPr>
        <w:t xml:space="preserve"> </w:t>
      </w:r>
      <w:r w:rsidR="002951AE">
        <w:rPr>
          <w:rFonts w:ascii="Arial" w:hAnsi="Arial" w:cs="Arial"/>
          <w:color w:val="000000" w:themeColor="text1"/>
          <w:sz w:val="22"/>
          <w:szCs w:val="22"/>
        </w:rPr>
        <w:t xml:space="preserve">fall under the umbrella of </w:t>
      </w:r>
      <w:r w:rsidR="00CB7DAB">
        <w:rPr>
          <w:rFonts w:ascii="Arial" w:hAnsi="Arial" w:cs="Arial"/>
          <w:color w:val="000000" w:themeColor="text1"/>
          <w:sz w:val="22"/>
          <w:szCs w:val="22"/>
        </w:rPr>
        <w:t>‘</w:t>
      </w:r>
      <w:r w:rsidR="002951AE">
        <w:rPr>
          <w:rFonts w:ascii="Arial" w:hAnsi="Arial" w:cs="Arial"/>
          <w:color w:val="000000" w:themeColor="text1"/>
          <w:sz w:val="22"/>
          <w:szCs w:val="22"/>
        </w:rPr>
        <w:t>special measures</w:t>
      </w:r>
      <w:r w:rsidR="00CB7DAB">
        <w:rPr>
          <w:rFonts w:ascii="Arial" w:hAnsi="Arial" w:cs="Arial"/>
          <w:color w:val="000000" w:themeColor="text1"/>
          <w:sz w:val="22"/>
          <w:szCs w:val="22"/>
        </w:rPr>
        <w:t>’</w:t>
      </w:r>
      <w:r w:rsidR="002951AE">
        <w:rPr>
          <w:rFonts w:ascii="Arial" w:hAnsi="Arial" w:cs="Arial"/>
          <w:color w:val="000000" w:themeColor="text1"/>
          <w:sz w:val="22"/>
          <w:szCs w:val="22"/>
        </w:rPr>
        <w:t xml:space="preserve"> in the spirit of Art</w:t>
      </w:r>
      <w:r w:rsidR="00D333A9">
        <w:rPr>
          <w:rFonts w:ascii="Arial" w:hAnsi="Arial" w:cs="Arial"/>
          <w:color w:val="000000" w:themeColor="text1"/>
          <w:sz w:val="22"/>
          <w:szCs w:val="22"/>
        </w:rPr>
        <w:t>icle</w:t>
      </w:r>
      <w:r w:rsidR="002951AE">
        <w:rPr>
          <w:rFonts w:ascii="Arial" w:hAnsi="Arial" w:cs="Arial"/>
          <w:color w:val="000000" w:themeColor="text1"/>
          <w:sz w:val="22"/>
          <w:szCs w:val="22"/>
        </w:rPr>
        <w:t xml:space="preserve"> 4 of CEDAW to promote equality for</w:t>
      </w:r>
      <w:r w:rsidR="002951AE" w:rsidRPr="009F3857">
        <w:rPr>
          <w:rFonts w:ascii="Arial" w:hAnsi="Arial" w:cs="Arial"/>
          <w:color w:val="000000" w:themeColor="text1"/>
          <w:sz w:val="22"/>
          <w:szCs w:val="22"/>
        </w:rPr>
        <w:t xml:space="preserve"> women and accelerate the improvement of their position to achieve their </w:t>
      </w:r>
      <w:r w:rsidR="002951AE" w:rsidRPr="00937B6F">
        <w:rPr>
          <w:rFonts w:ascii="Arial" w:hAnsi="Arial" w:cs="Arial"/>
          <w:i/>
          <w:color w:val="000000" w:themeColor="text1"/>
          <w:sz w:val="22"/>
          <w:szCs w:val="22"/>
        </w:rPr>
        <w:t>de facto</w:t>
      </w:r>
      <w:r w:rsidR="002951AE" w:rsidRPr="009F3857">
        <w:rPr>
          <w:rFonts w:ascii="Arial" w:hAnsi="Arial" w:cs="Arial"/>
          <w:color w:val="000000" w:themeColor="text1"/>
          <w:sz w:val="22"/>
          <w:szCs w:val="22"/>
        </w:rPr>
        <w:t xml:space="preserve"> or substantive equality with men.</w:t>
      </w:r>
      <w:r w:rsidR="002951AE">
        <w:rPr>
          <w:rFonts w:ascii="Arial" w:hAnsi="Arial" w:cs="Arial"/>
          <w:color w:val="000000" w:themeColor="text1"/>
          <w:sz w:val="22"/>
          <w:szCs w:val="22"/>
        </w:rPr>
        <w:t xml:space="preserve"> As stressed by the CEDAW Committee, special measures are needed not only for women in ‘developing countries’ but also in ‘developed ones’ given the significant</w:t>
      </w:r>
      <w:r w:rsidR="00CB7DAB">
        <w:rPr>
          <w:rFonts w:ascii="Arial" w:hAnsi="Arial" w:cs="Arial"/>
          <w:color w:val="000000" w:themeColor="text1"/>
          <w:sz w:val="22"/>
          <w:szCs w:val="22"/>
        </w:rPr>
        <w:t xml:space="preserve"> inequalities that persist </w:t>
      </w:r>
      <w:r w:rsidR="00EF1C72">
        <w:rPr>
          <w:rFonts w:ascii="Arial" w:hAnsi="Arial" w:cs="Arial"/>
          <w:color w:val="000000" w:themeColor="text1"/>
          <w:sz w:val="22"/>
          <w:szCs w:val="22"/>
        </w:rPr>
        <w:t xml:space="preserve">in all regions </w:t>
      </w:r>
      <w:r w:rsidR="00A236C8">
        <w:rPr>
          <w:rFonts w:ascii="Arial" w:hAnsi="Arial" w:cs="Arial"/>
          <w:color w:val="000000" w:themeColor="text1"/>
          <w:sz w:val="22"/>
          <w:szCs w:val="22"/>
        </w:rPr>
        <w:t xml:space="preserve">- </w:t>
      </w:r>
      <w:r w:rsidR="00EF1C72" w:rsidRPr="00A236C8">
        <w:rPr>
          <w:rFonts w:ascii="Arial" w:hAnsi="Arial" w:cs="Arial"/>
          <w:i/>
          <w:color w:val="000000" w:themeColor="text1"/>
          <w:sz w:val="22"/>
          <w:szCs w:val="22"/>
        </w:rPr>
        <w:t>regardless of their level of economic development</w:t>
      </w:r>
      <w:r w:rsidR="00A236C8">
        <w:rPr>
          <w:rFonts w:ascii="Arial" w:hAnsi="Arial" w:cs="Arial"/>
          <w:color w:val="000000" w:themeColor="text1"/>
          <w:sz w:val="22"/>
          <w:szCs w:val="22"/>
        </w:rPr>
        <w:t xml:space="preserve"> -</w:t>
      </w:r>
      <w:r w:rsidR="00EF1C72">
        <w:rPr>
          <w:rFonts w:ascii="Arial" w:hAnsi="Arial" w:cs="Arial"/>
          <w:color w:val="000000" w:themeColor="text1"/>
          <w:sz w:val="22"/>
          <w:szCs w:val="22"/>
        </w:rPr>
        <w:t xml:space="preserve"> </w:t>
      </w:r>
      <w:r w:rsidR="00CB7DAB">
        <w:rPr>
          <w:rFonts w:ascii="Arial" w:hAnsi="Arial" w:cs="Arial"/>
          <w:color w:val="000000" w:themeColor="text1"/>
          <w:sz w:val="22"/>
          <w:szCs w:val="22"/>
        </w:rPr>
        <w:t xml:space="preserve">and that undermine women’s </w:t>
      </w:r>
      <w:r w:rsidR="002951AE">
        <w:rPr>
          <w:rFonts w:ascii="Arial" w:hAnsi="Arial" w:cs="Arial"/>
          <w:color w:val="000000" w:themeColor="text1"/>
          <w:sz w:val="22"/>
          <w:szCs w:val="22"/>
        </w:rPr>
        <w:t xml:space="preserve">rights </w:t>
      </w:r>
      <w:r w:rsidR="002951AE" w:rsidRPr="002951AE">
        <w:rPr>
          <w:rFonts w:ascii="Arial" w:hAnsi="Arial" w:cs="Arial"/>
          <w:color w:val="000000" w:themeColor="text1"/>
          <w:sz w:val="22"/>
          <w:szCs w:val="22"/>
        </w:rPr>
        <w:t>in various areas, including economic empowerment, participation in political</w:t>
      </w:r>
      <w:r w:rsidR="002951AE">
        <w:rPr>
          <w:rFonts w:ascii="Arial" w:hAnsi="Arial" w:cs="Arial"/>
          <w:color w:val="000000" w:themeColor="text1"/>
          <w:sz w:val="22"/>
          <w:szCs w:val="22"/>
        </w:rPr>
        <w:t xml:space="preserve"> </w:t>
      </w:r>
      <w:r w:rsidR="002951AE" w:rsidRPr="002951AE">
        <w:rPr>
          <w:rFonts w:ascii="Arial" w:hAnsi="Arial" w:cs="Arial"/>
          <w:color w:val="000000" w:themeColor="text1"/>
          <w:sz w:val="22"/>
          <w:szCs w:val="22"/>
        </w:rPr>
        <w:t>and p</w:t>
      </w:r>
      <w:r w:rsidR="00CB7DAB">
        <w:rPr>
          <w:rFonts w:ascii="Arial" w:hAnsi="Arial" w:cs="Arial"/>
          <w:color w:val="000000" w:themeColor="text1"/>
          <w:sz w:val="22"/>
          <w:szCs w:val="22"/>
        </w:rPr>
        <w:t xml:space="preserve">ublic life, access to services </w:t>
      </w:r>
      <w:r w:rsidR="005E0234">
        <w:rPr>
          <w:rFonts w:ascii="Arial" w:hAnsi="Arial" w:cs="Arial"/>
          <w:color w:val="000000" w:themeColor="text1"/>
          <w:sz w:val="22"/>
          <w:szCs w:val="22"/>
        </w:rPr>
        <w:t xml:space="preserve">including </w:t>
      </w:r>
      <w:r w:rsidR="00CB7DAB">
        <w:rPr>
          <w:rFonts w:ascii="Arial" w:hAnsi="Arial" w:cs="Arial"/>
          <w:color w:val="000000" w:themeColor="text1"/>
          <w:sz w:val="22"/>
          <w:szCs w:val="22"/>
        </w:rPr>
        <w:t>land ownership.</w:t>
      </w:r>
      <w:r w:rsidR="00EF1C72">
        <w:rPr>
          <w:rFonts w:ascii="Arial" w:hAnsi="Arial" w:cs="Arial"/>
          <w:color w:val="000000" w:themeColor="text1"/>
          <w:sz w:val="22"/>
          <w:szCs w:val="22"/>
        </w:rPr>
        <w:t xml:space="preserve"> The </w:t>
      </w:r>
      <w:r w:rsidR="00D333A9">
        <w:rPr>
          <w:rFonts w:ascii="Arial" w:hAnsi="Arial" w:cs="Arial"/>
          <w:color w:val="000000" w:themeColor="text1"/>
          <w:sz w:val="22"/>
          <w:szCs w:val="22"/>
        </w:rPr>
        <w:t xml:space="preserve">briefing note </w:t>
      </w:r>
      <w:r w:rsidR="00EF1C72">
        <w:rPr>
          <w:rFonts w:ascii="Arial" w:hAnsi="Arial" w:cs="Arial"/>
          <w:color w:val="000000" w:themeColor="text1"/>
          <w:sz w:val="22"/>
          <w:szCs w:val="22"/>
        </w:rPr>
        <w:t xml:space="preserve">shows that a number of countries, </w:t>
      </w:r>
      <w:r w:rsidR="00D333A9">
        <w:rPr>
          <w:rFonts w:ascii="Arial" w:hAnsi="Arial" w:cs="Arial"/>
          <w:color w:val="000000" w:themeColor="text1"/>
          <w:sz w:val="22"/>
          <w:szCs w:val="22"/>
        </w:rPr>
        <w:t>including</w:t>
      </w:r>
      <w:r w:rsidR="00EF1C72">
        <w:rPr>
          <w:rFonts w:ascii="Arial" w:hAnsi="Arial" w:cs="Arial"/>
          <w:color w:val="000000" w:themeColor="text1"/>
          <w:sz w:val="22"/>
          <w:szCs w:val="22"/>
        </w:rPr>
        <w:t xml:space="preserve"> ‘developed countries’ have recognized these inequalities and</w:t>
      </w:r>
      <w:r w:rsidR="00D333A9">
        <w:rPr>
          <w:rFonts w:ascii="Arial" w:hAnsi="Arial" w:cs="Arial"/>
          <w:color w:val="000000" w:themeColor="text1"/>
          <w:sz w:val="22"/>
          <w:szCs w:val="22"/>
        </w:rPr>
        <w:t xml:space="preserve"> have</w:t>
      </w:r>
      <w:r w:rsidR="00EF1C72">
        <w:rPr>
          <w:rFonts w:ascii="Arial" w:hAnsi="Arial" w:cs="Arial"/>
          <w:color w:val="000000" w:themeColor="text1"/>
          <w:sz w:val="22"/>
          <w:szCs w:val="22"/>
        </w:rPr>
        <w:t xml:space="preserve"> adopted </w:t>
      </w:r>
      <w:r w:rsidR="00D333A9">
        <w:rPr>
          <w:rFonts w:ascii="Arial" w:hAnsi="Arial" w:cs="Arial"/>
          <w:color w:val="000000" w:themeColor="text1"/>
          <w:sz w:val="22"/>
          <w:szCs w:val="22"/>
        </w:rPr>
        <w:t>the legal reforms covered by the proxies (which directly or indirectly strengthe</w:t>
      </w:r>
      <w:r w:rsidR="00D52A8A">
        <w:rPr>
          <w:rFonts w:ascii="Arial" w:hAnsi="Arial" w:cs="Arial"/>
          <w:color w:val="000000" w:themeColor="text1"/>
          <w:sz w:val="22"/>
          <w:szCs w:val="22"/>
        </w:rPr>
        <w:t xml:space="preserve">n women’s land rights over land </w:t>
      </w:r>
      <w:r w:rsidR="00EF1C72">
        <w:rPr>
          <w:rFonts w:ascii="Arial" w:hAnsi="Arial" w:cs="Arial"/>
          <w:color w:val="000000" w:themeColor="text1"/>
          <w:sz w:val="22"/>
          <w:szCs w:val="22"/>
        </w:rPr>
        <w:t xml:space="preserve">with </w:t>
      </w:r>
      <w:r w:rsidR="005E0234">
        <w:rPr>
          <w:rFonts w:ascii="Arial" w:hAnsi="Arial" w:cs="Arial"/>
          <w:color w:val="000000" w:themeColor="text1"/>
          <w:sz w:val="22"/>
          <w:szCs w:val="22"/>
        </w:rPr>
        <w:t xml:space="preserve">a view to </w:t>
      </w:r>
      <w:r w:rsidR="00D333A9">
        <w:rPr>
          <w:rFonts w:ascii="Arial" w:hAnsi="Arial" w:cs="Arial"/>
          <w:color w:val="000000" w:themeColor="text1"/>
          <w:sz w:val="22"/>
          <w:szCs w:val="22"/>
        </w:rPr>
        <w:t xml:space="preserve">closing </w:t>
      </w:r>
      <w:r w:rsidR="005E0234">
        <w:rPr>
          <w:rFonts w:ascii="Arial" w:hAnsi="Arial" w:cs="Arial"/>
          <w:color w:val="000000" w:themeColor="text1"/>
          <w:sz w:val="22"/>
          <w:szCs w:val="22"/>
        </w:rPr>
        <w:t>the gender gap</w:t>
      </w:r>
      <w:r w:rsidR="007C7A06">
        <w:rPr>
          <w:rFonts w:ascii="Arial" w:hAnsi="Arial" w:cs="Arial"/>
          <w:color w:val="000000" w:themeColor="text1"/>
          <w:sz w:val="22"/>
          <w:szCs w:val="22"/>
        </w:rPr>
        <w:t>)</w:t>
      </w:r>
      <w:r w:rsidR="00D333A9">
        <w:rPr>
          <w:rFonts w:ascii="Arial" w:hAnsi="Arial" w:cs="Arial"/>
          <w:color w:val="000000" w:themeColor="text1"/>
          <w:sz w:val="22"/>
          <w:szCs w:val="22"/>
        </w:rPr>
        <w:t>.</w:t>
      </w:r>
      <w:r w:rsidR="005E0234">
        <w:rPr>
          <w:rFonts w:ascii="Arial" w:hAnsi="Arial" w:cs="Arial"/>
          <w:color w:val="000000" w:themeColor="text1"/>
          <w:sz w:val="22"/>
          <w:szCs w:val="22"/>
        </w:rPr>
        <w:t xml:space="preserve"> </w:t>
      </w:r>
      <w:r w:rsidR="00862CFE">
        <w:rPr>
          <w:rFonts w:ascii="Arial" w:hAnsi="Arial" w:cs="Arial"/>
          <w:color w:val="000000" w:themeColor="text1"/>
          <w:sz w:val="22"/>
          <w:szCs w:val="22"/>
        </w:rPr>
        <w:t>The</w:t>
      </w:r>
      <w:r w:rsidR="00FC1AD9">
        <w:rPr>
          <w:rFonts w:ascii="Arial" w:hAnsi="Arial" w:cs="Arial"/>
          <w:color w:val="000000" w:themeColor="text1"/>
          <w:sz w:val="22"/>
          <w:szCs w:val="22"/>
        </w:rPr>
        <w:t xml:space="preserve"> </w:t>
      </w:r>
      <w:r w:rsidR="00E332C5" w:rsidRPr="00D52A8A">
        <w:rPr>
          <w:rFonts w:ascii="Arial" w:hAnsi="Arial" w:cs="Arial"/>
          <w:color w:val="000000" w:themeColor="text1"/>
          <w:sz w:val="22"/>
          <w:szCs w:val="22"/>
        </w:rPr>
        <w:t xml:space="preserve">proxies </w:t>
      </w:r>
      <w:r w:rsidR="00FC1AD9">
        <w:rPr>
          <w:rFonts w:ascii="Arial" w:hAnsi="Arial" w:cs="Arial"/>
          <w:color w:val="000000" w:themeColor="text1"/>
          <w:sz w:val="22"/>
          <w:szCs w:val="22"/>
        </w:rPr>
        <w:t xml:space="preserve">falling under the umbrella of special </w:t>
      </w:r>
      <w:r w:rsidR="00AD02A3">
        <w:rPr>
          <w:rFonts w:ascii="Arial" w:hAnsi="Arial" w:cs="Arial"/>
          <w:color w:val="000000" w:themeColor="text1"/>
          <w:sz w:val="22"/>
          <w:szCs w:val="22"/>
        </w:rPr>
        <w:t xml:space="preserve">legal or policy </w:t>
      </w:r>
      <w:r w:rsidR="00FC1AD9">
        <w:rPr>
          <w:rFonts w:ascii="Arial" w:hAnsi="Arial" w:cs="Arial"/>
          <w:color w:val="000000" w:themeColor="text1"/>
          <w:sz w:val="22"/>
          <w:szCs w:val="22"/>
        </w:rPr>
        <w:t>measures</w:t>
      </w:r>
      <w:r w:rsidR="00AD02A3">
        <w:rPr>
          <w:rFonts w:ascii="Arial" w:hAnsi="Arial" w:cs="Arial"/>
          <w:color w:val="000000" w:themeColor="text1"/>
          <w:sz w:val="22"/>
          <w:szCs w:val="22"/>
        </w:rPr>
        <w:t>,</w:t>
      </w:r>
      <w:r w:rsidR="00862CFE">
        <w:rPr>
          <w:rFonts w:ascii="Arial" w:hAnsi="Arial" w:cs="Arial"/>
          <w:color w:val="000000" w:themeColor="text1"/>
          <w:sz w:val="22"/>
          <w:szCs w:val="22"/>
        </w:rPr>
        <w:t xml:space="preserve"> i.e. </w:t>
      </w:r>
      <w:r w:rsidR="00D52A8A" w:rsidRPr="00D52A8A">
        <w:rPr>
          <w:rFonts w:ascii="Arial" w:hAnsi="Arial" w:cs="Arial"/>
          <w:color w:val="000000" w:themeColor="text1"/>
          <w:sz w:val="22"/>
          <w:szCs w:val="22"/>
        </w:rPr>
        <w:t xml:space="preserve">well-funded </w:t>
      </w:r>
      <w:r w:rsidR="00FC1AD9">
        <w:rPr>
          <w:rFonts w:ascii="Arial" w:hAnsi="Arial" w:cs="Arial"/>
          <w:color w:val="000000" w:themeColor="text1"/>
          <w:sz w:val="22"/>
          <w:szCs w:val="22"/>
        </w:rPr>
        <w:t xml:space="preserve">national wide </w:t>
      </w:r>
      <w:r w:rsidR="00D52A8A" w:rsidRPr="00D52A8A">
        <w:rPr>
          <w:rFonts w:ascii="Arial" w:hAnsi="Arial" w:cs="Arial"/>
          <w:color w:val="000000" w:themeColor="text1"/>
          <w:sz w:val="22"/>
          <w:szCs w:val="22"/>
        </w:rPr>
        <w:t xml:space="preserve">programs/projects </w:t>
      </w:r>
      <w:r w:rsidR="00FC1AD9">
        <w:rPr>
          <w:rFonts w:ascii="Arial" w:hAnsi="Arial" w:cs="Arial"/>
          <w:color w:val="000000" w:themeColor="text1"/>
          <w:sz w:val="22"/>
          <w:szCs w:val="22"/>
        </w:rPr>
        <w:t>aiming at increasing</w:t>
      </w:r>
      <w:r w:rsidR="00D52A8A" w:rsidRPr="00D52A8A">
        <w:rPr>
          <w:rFonts w:ascii="Arial" w:hAnsi="Arial" w:cs="Arial"/>
          <w:color w:val="000000" w:themeColor="text1"/>
          <w:sz w:val="22"/>
          <w:szCs w:val="22"/>
        </w:rPr>
        <w:t xml:space="preserve"> women’s land ownership/control </w:t>
      </w:r>
      <w:r w:rsidR="00862CFE">
        <w:rPr>
          <w:rFonts w:ascii="Arial" w:hAnsi="Arial" w:cs="Arial"/>
          <w:color w:val="000000" w:themeColor="text1"/>
          <w:sz w:val="22"/>
          <w:szCs w:val="22"/>
        </w:rPr>
        <w:t>(</w:t>
      </w:r>
      <w:r w:rsidR="00FC1AD9">
        <w:rPr>
          <w:rFonts w:ascii="Arial" w:hAnsi="Arial" w:cs="Arial"/>
          <w:color w:val="000000" w:themeColor="text1"/>
          <w:sz w:val="22"/>
          <w:szCs w:val="22"/>
        </w:rPr>
        <w:t>proxy D</w:t>
      </w:r>
      <w:r w:rsidR="00862CFE">
        <w:rPr>
          <w:rFonts w:ascii="Arial" w:hAnsi="Arial" w:cs="Arial"/>
          <w:color w:val="000000" w:themeColor="text1"/>
          <w:sz w:val="22"/>
          <w:szCs w:val="22"/>
        </w:rPr>
        <w:t>)</w:t>
      </w:r>
      <w:r w:rsidR="00FC1AD9">
        <w:rPr>
          <w:rFonts w:ascii="Arial" w:hAnsi="Arial" w:cs="Arial"/>
          <w:color w:val="000000" w:themeColor="text1"/>
          <w:sz w:val="22"/>
          <w:szCs w:val="22"/>
        </w:rPr>
        <w:t xml:space="preserve"> </w:t>
      </w:r>
      <w:r w:rsidR="00666464" w:rsidRPr="00D52A8A">
        <w:rPr>
          <w:rFonts w:ascii="Arial" w:hAnsi="Arial" w:cs="Arial"/>
          <w:color w:val="000000" w:themeColor="text1"/>
          <w:sz w:val="22"/>
          <w:szCs w:val="22"/>
        </w:rPr>
        <w:t xml:space="preserve">and </w:t>
      </w:r>
      <w:r w:rsidR="00FC1AD9">
        <w:rPr>
          <w:rFonts w:ascii="Arial" w:hAnsi="Arial" w:cs="Arial"/>
          <w:color w:val="000000" w:themeColor="text1"/>
          <w:sz w:val="22"/>
          <w:szCs w:val="22"/>
        </w:rPr>
        <w:t xml:space="preserve">evidence of </w:t>
      </w:r>
      <w:r w:rsidR="00A202C6" w:rsidRPr="00D52A8A">
        <w:rPr>
          <w:rFonts w:ascii="Arial" w:hAnsi="Arial" w:cs="Arial"/>
          <w:color w:val="000000" w:themeColor="text1"/>
          <w:sz w:val="22"/>
          <w:szCs w:val="22"/>
        </w:rPr>
        <w:t>equal representation</w:t>
      </w:r>
      <w:r w:rsidR="00666464" w:rsidRPr="00D52A8A">
        <w:rPr>
          <w:rFonts w:ascii="Arial" w:hAnsi="Arial" w:cs="Arial"/>
          <w:color w:val="000000" w:themeColor="text1"/>
          <w:sz w:val="22"/>
          <w:szCs w:val="22"/>
        </w:rPr>
        <w:t xml:space="preserve"> of women in land institutions</w:t>
      </w:r>
      <w:r w:rsidR="00FC1AD9">
        <w:rPr>
          <w:rFonts w:ascii="Arial" w:hAnsi="Arial" w:cs="Arial"/>
          <w:color w:val="000000" w:themeColor="text1"/>
          <w:sz w:val="22"/>
          <w:szCs w:val="22"/>
        </w:rPr>
        <w:t xml:space="preserve"> </w:t>
      </w:r>
      <w:r w:rsidR="00862CFE">
        <w:rPr>
          <w:rFonts w:ascii="Arial" w:hAnsi="Arial" w:cs="Arial"/>
          <w:color w:val="000000" w:themeColor="text1"/>
          <w:sz w:val="22"/>
          <w:szCs w:val="22"/>
        </w:rPr>
        <w:t>(</w:t>
      </w:r>
      <w:r w:rsidR="00FC1AD9">
        <w:rPr>
          <w:rFonts w:ascii="Arial" w:hAnsi="Arial" w:cs="Arial"/>
          <w:color w:val="000000" w:themeColor="text1"/>
          <w:sz w:val="22"/>
          <w:szCs w:val="22"/>
        </w:rPr>
        <w:t>proxy F</w:t>
      </w:r>
      <w:r w:rsidR="00862CFE">
        <w:rPr>
          <w:rFonts w:ascii="Arial" w:hAnsi="Arial" w:cs="Arial"/>
          <w:color w:val="000000" w:themeColor="text1"/>
          <w:sz w:val="22"/>
          <w:szCs w:val="22"/>
        </w:rPr>
        <w:t xml:space="preserve">), do not need to be </w:t>
      </w:r>
      <w:r w:rsidR="00AD02A3">
        <w:rPr>
          <w:rFonts w:ascii="Arial" w:hAnsi="Arial" w:cs="Arial"/>
          <w:color w:val="000000" w:themeColor="text1"/>
          <w:sz w:val="22"/>
          <w:szCs w:val="22"/>
        </w:rPr>
        <w:t>report</w:t>
      </w:r>
      <w:r w:rsidR="00862CFE">
        <w:rPr>
          <w:rFonts w:ascii="Arial" w:hAnsi="Arial" w:cs="Arial"/>
          <w:color w:val="000000" w:themeColor="text1"/>
          <w:sz w:val="22"/>
          <w:szCs w:val="22"/>
        </w:rPr>
        <w:t>ed only</w:t>
      </w:r>
      <w:r w:rsidR="00862CFE" w:rsidRPr="00D52A8A">
        <w:rPr>
          <w:rFonts w:ascii="Arial" w:hAnsi="Arial" w:cs="Arial"/>
          <w:color w:val="000000" w:themeColor="text1"/>
          <w:sz w:val="22"/>
          <w:szCs w:val="22"/>
        </w:rPr>
        <w:t xml:space="preserve"> </w:t>
      </w:r>
      <w:r w:rsidR="00862CFE">
        <w:rPr>
          <w:rFonts w:ascii="Arial" w:hAnsi="Arial" w:cs="Arial"/>
          <w:color w:val="000000" w:themeColor="text1"/>
          <w:sz w:val="22"/>
          <w:szCs w:val="22"/>
        </w:rPr>
        <w:t xml:space="preserve">by </w:t>
      </w:r>
      <w:r w:rsidR="00862CFE" w:rsidRPr="00D52A8A">
        <w:rPr>
          <w:rFonts w:ascii="Arial" w:hAnsi="Arial" w:cs="Arial"/>
          <w:color w:val="000000" w:themeColor="text1"/>
          <w:sz w:val="22"/>
          <w:szCs w:val="22"/>
        </w:rPr>
        <w:t xml:space="preserve">countries </w:t>
      </w:r>
      <w:r w:rsidR="00862CFE">
        <w:rPr>
          <w:rFonts w:ascii="Arial" w:hAnsi="Arial" w:cs="Arial"/>
          <w:color w:val="000000" w:themeColor="text1"/>
          <w:sz w:val="22"/>
          <w:szCs w:val="22"/>
        </w:rPr>
        <w:t>that can demonstrate the achievement of gender equality in terms of land ownership (at least 40% of women land owners</w:t>
      </w:r>
      <w:r w:rsidR="00AD02A3">
        <w:rPr>
          <w:rFonts w:ascii="Arial" w:hAnsi="Arial" w:cs="Arial"/>
          <w:color w:val="000000" w:themeColor="text1"/>
          <w:sz w:val="22"/>
          <w:szCs w:val="22"/>
        </w:rPr>
        <w:t xml:space="preserve"> – SDG 5.a.1</w:t>
      </w:r>
      <w:r w:rsidR="00862CFE">
        <w:rPr>
          <w:rFonts w:ascii="Arial" w:hAnsi="Arial" w:cs="Arial"/>
          <w:color w:val="000000" w:themeColor="text1"/>
          <w:sz w:val="22"/>
          <w:szCs w:val="22"/>
        </w:rPr>
        <w:t>)</w:t>
      </w:r>
      <w:r w:rsidR="00AD02A3">
        <w:rPr>
          <w:rFonts w:ascii="Arial" w:hAnsi="Arial" w:cs="Arial"/>
          <w:color w:val="000000" w:themeColor="text1"/>
          <w:sz w:val="22"/>
          <w:szCs w:val="22"/>
        </w:rPr>
        <w:t>.</w:t>
      </w:r>
    </w:p>
    <w:p w14:paraId="2E398830" w14:textId="77777777" w:rsidR="006E1245" w:rsidRDefault="006E1245">
      <w:pPr>
        <w:widowControl w:val="0"/>
        <w:ind w:left="0" w:firstLine="0"/>
        <w:contextualSpacing w:val="0"/>
        <w:rPr>
          <w:rFonts w:ascii="Arial" w:hAnsi="Arial" w:cs="Arial"/>
          <w:color w:val="000000" w:themeColor="text1"/>
          <w:sz w:val="22"/>
          <w:szCs w:val="22"/>
        </w:rPr>
      </w:pPr>
    </w:p>
    <w:p w14:paraId="702A5DB2" w14:textId="77777777" w:rsidR="005D1CAC" w:rsidRDefault="005D1CAC">
      <w:pPr>
        <w:rPr>
          <w:rFonts w:ascii="Arial" w:hAnsi="Arial" w:cs="Arial"/>
          <w:color w:val="000000" w:themeColor="text1"/>
          <w:sz w:val="22"/>
          <w:szCs w:val="22"/>
        </w:rPr>
      </w:pPr>
      <w:r>
        <w:rPr>
          <w:rFonts w:ascii="Arial" w:hAnsi="Arial" w:cs="Arial"/>
          <w:color w:val="000000" w:themeColor="text1"/>
          <w:sz w:val="22"/>
          <w:szCs w:val="22"/>
        </w:rPr>
        <w:br w:type="page"/>
      </w:r>
    </w:p>
    <w:p w14:paraId="245961B6" w14:textId="77777777" w:rsidR="00D528E0" w:rsidRPr="00902D86" w:rsidRDefault="00D528E0" w:rsidP="00D528E0">
      <w:pPr>
        <w:widowControl w:val="0"/>
        <w:ind w:left="0" w:firstLine="0"/>
        <w:contextualSpacing w:val="0"/>
        <w:rPr>
          <w:rFonts w:ascii="Arial" w:hAnsi="Arial" w:cs="Arial"/>
          <w:b/>
          <w:color w:val="5B9BD5" w:themeColor="accent1"/>
          <w:sz w:val="24"/>
          <w:szCs w:val="24"/>
        </w:rPr>
      </w:pPr>
      <w:r>
        <w:rPr>
          <w:rFonts w:ascii="Arial" w:hAnsi="Arial" w:cs="Arial"/>
          <w:b/>
          <w:color w:val="5B9BD5" w:themeColor="accent1"/>
          <w:sz w:val="24"/>
          <w:szCs w:val="24"/>
        </w:rPr>
        <w:lastRenderedPageBreak/>
        <w:t>F</w:t>
      </w:r>
      <w:r w:rsidRPr="00D528E0">
        <w:rPr>
          <w:rFonts w:ascii="Arial" w:hAnsi="Arial" w:cs="Arial"/>
          <w:b/>
          <w:color w:val="5B9BD5" w:themeColor="accent1"/>
          <w:sz w:val="24"/>
          <w:szCs w:val="24"/>
        </w:rPr>
        <w:t xml:space="preserve">. </w:t>
      </w:r>
      <w:r>
        <w:rPr>
          <w:rFonts w:ascii="Arial" w:hAnsi="Arial" w:cs="Arial"/>
          <w:b/>
          <w:color w:val="5B9BD5" w:themeColor="accent1"/>
          <w:sz w:val="24"/>
          <w:szCs w:val="24"/>
        </w:rPr>
        <w:t>ANNEX I</w:t>
      </w:r>
      <w:r w:rsidR="00F14F4C">
        <w:rPr>
          <w:rFonts w:ascii="Arial" w:hAnsi="Arial" w:cs="Arial"/>
          <w:b/>
          <w:color w:val="5B9BD5" w:themeColor="accent1"/>
          <w:sz w:val="24"/>
          <w:szCs w:val="24"/>
        </w:rPr>
        <w:t xml:space="preserve"> - </w:t>
      </w:r>
      <w:r w:rsidR="00F14F4C" w:rsidRPr="00902D86">
        <w:rPr>
          <w:rFonts w:ascii="Arial" w:hAnsi="Arial" w:cs="Arial"/>
          <w:b/>
          <w:color w:val="5B9BD5" w:themeColor="accent1"/>
          <w:sz w:val="24"/>
          <w:szCs w:val="24"/>
        </w:rPr>
        <w:t>Distribution of Agricultural Holders by Sex in Europe</w:t>
      </w:r>
    </w:p>
    <w:p w14:paraId="14065A43" w14:textId="2A0433F2" w:rsidR="00D528E0" w:rsidRPr="00AD02A3" w:rsidRDefault="00AD02A3" w:rsidP="00AD02A3">
      <w:pPr>
        <w:ind w:left="0" w:firstLine="0"/>
        <w:rPr>
          <w:rFonts w:ascii="Arial" w:hAnsi="Arial" w:cs="Arial"/>
          <w:color w:val="000000" w:themeColor="text1"/>
          <w:sz w:val="22"/>
          <w:szCs w:val="22"/>
        </w:rPr>
      </w:pPr>
      <w:r w:rsidRPr="00AD02A3">
        <w:rPr>
          <w:rFonts w:ascii="Arial" w:hAnsi="Arial" w:cs="Arial"/>
          <w:color w:val="000000" w:themeColor="text1"/>
          <w:sz w:val="22"/>
          <w:szCs w:val="22"/>
        </w:rPr>
        <w:t>The agricultural holder is the civil or juridical person who makes the major decisions regarding resource use and exercises management control over the agricultural holding. The agricultural holder has technical and economic responsibility for the holding.</w:t>
      </w:r>
    </w:p>
    <w:p w14:paraId="52C17955" w14:textId="77777777" w:rsidR="005D1CAC" w:rsidRDefault="005D1CAC" w:rsidP="007751E2">
      <w:pPr>
        <w:shd w:val="clear" w:color="auto" w:fill="FFFFFF" w:themeFill="background1"/>
        <w:rPr>
          <w:rFonts w:ascii="Arial" w:hAnsi="Arial" w:cs="Arial"/>
          <w:color w:val="000000" w:themeColor="text1"/>
          <w:sz w:val="22"/>
          <w:szCs w:val="22"/>
        </w:rPr>
      </w:pPr>
    </w:p>
    <w:tbl>
      <w:tblPr>
        <w:tblW w:w="4777" w:type="pct"/>
        <w:tblInd w:w="487" w:type="dxa"/>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Layout w:type="fixed"/>
        <w:tblCellMar>
          <w:top w:w="15" w:type="dxa"/>
          <w:left w:w="15" w:type="dxa"/>
          <w:bottom w:w="15" w:type="dxa"/>
          <w:right w:w="15" w:type="dxa"/>
        </w:tblCellMar>
        <w:tblLook w:val="04A0" w:firstRow="1" w:lastRow="0" w:firstColumn="1" w:lastColumn="0" w:noHBand="0" w:noVBand="1"/>
      </w:tblPr>
      <w:tblGrid>
        <w:gridCol w:w="1823"/>
        <w:gridCol w:w="1106"/>
        <w:gridCol w:w="1317"/>
        <w:gridCol w:w="1317"/>
        <w:gridCol w:w="1592"/>
        <w:gridCol w:w="1778"/>
      </w:tblGrid>
      <w:tr w:rsidR="007751E2" w:rsidRPr="00647989" w14:paraId="7396A1C8" w14:textId="77777777" w:rsidTr="007751E2">
        <w:tc>
          <w:tcPr>
            <w:tcW w:w="1021" w:type="pct"/>
            <w:shd w:val="clear" w:color="auto" w:fill="DEEAF6" w:themeFill="accent1" w:themeFillTint="33"/>
            <w:tcMar>
              <w:top w:w="75" w:type="dxa"/>
              <w:left w:w="75" w:type="dxa"/>
              <w:bottom w:w="75" w:type="dxa"/>
              <w:right w:w="75" w:type="dxa"/>
            </w:tcMar>
            <w:vAlign w:val="center"/>
          </w:tcPr>
          <w:p w14:paraId="6358862C" w14:textId="77777777" w:rsidR="007751E2" w:rsidRPr="00647989" w:rsidRDefault="007751E2" w:rsidP="005D1CAC">
            <w:pPr>
              <w:spacing w:before="15"/>
              <w:ind w:right="15"/>
              <w:rPr>
                <w:rFonts w:ascii="Open Sans" w:eastAsia="Times New Roman" w:hAnsi="Open Sans" w:cs="Times New Roman"/>
                <w:color w:val="003B43"/>
                <w:sz w:val="19"/>
                <w:szCs w:val="19"/>
              </w:rPr>
            </w:pPr>
            <w:r>
              <w:rPr>
                <w:rFonts w:ascii="Open Sans" w:eastAsia="Times New Roman" w:hAnsi="Open Sans" w:cs="Times New Roman"/>
                <w:color w:val="003B43"/>
                <w:sz w:val="19"/>
                <w:szCs w:val="19"/>
              </w:rPr>
              <w:t>Country</w:t>
            </w:r>
          </w:p>
        </w:tc>
        <w:tc>
          <w:tcPr>
            <w:tcW w:w="619" w:type="pct"/>
            <w:shd w:val="clear" w:color="auto" w:fill="DEEAF6" w:themeFill="accent1" w:themeFillTint="33"/>
            <w:tcMar>
              <w:top w:w="75" w:type="dxa"/>
              <w:left w:w="75" w:type="dxa"/>
              <w:bottom w:w="75" w:type="dxa"/>
              <w:right w:w="75" w:type="dxa"/>
            </w:tcMar>
            <w:vAlign w:val="center"/>
          </w:tcPr>
          <w:p w14:paraId="56202D16"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Pr>
                <w:rFonts w:ascii="Open Sans" w:eastAsia="Times New Roman" w:hAnsi="Open Sans" w:cs="Times New Roman"/>
                <w:color w:val="003B43"/>
                <w:sz w:val="19"/>
                <w:szCs w:val="19"/>
              </w:rPr>
              <w:t>Year</w:t>
            </w:r>
          </w:p>
        </w:tc>
        <w:tc>
          <w:tcPr>
            <w:tcW w:w="737" w:type="pct"/>
            <w:shd w:val="clear" w:color="auto" w:fill="DEEAF6" w:themeFill="accent1" w:themeFillTint="33"/>
            <w:tcMar>
              <w:top w:w="75" w:type="dxa"/>
              <w:left w:w="75" w:type="dxa"/>
              <w:bottom w:w="75" w:type="dxa"/>
              <w:right w:w="75" w:type="dxa"/>
            </w:tcMar>
            <w:vAlign w:val="center"/>
          </w:tcPr>
          <w:p w14:paraId="2B6E7C6F"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Pr>
                <w:rFonts w:ascii="Open Sans" w:eastAsia="Times New Roman" w:hAnsi="Open Sans" w:cs="Times New Roman"/>
                <w:color w:val="003B43"/>
                <w:sz w:val="19"/>
                <w:szCs w:val="19"/>
              </w:rPr>
              <w:t>Total</w:t>
            </w:r>
          </w:p>
        </w:tc>
        <w:tc>
          <w:tcPr>
            <w:tcW w:w="737" w:type="pct"/>
            <w:shd w:val="clear" w:color="auto" w:fill="DEEAF6" w:themeFill="accent1" w:themeFillTint="33"/>
            <w:tcMar>
              <w:top w:w="75" w:type="dxa"/>
              <w:left w:w="75" w:type="dxa"/>
              <w:bottom w:w="75" w:type="dxa"/>
              <w:right w:w="75" w:type="dxa"/>
            </w:tcMar>
            <w:vAlign w:val="center"/>
          </w:tcPr>
          <w:p w14:paraId="48A88730"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Pr>
                <w:rFonts w:ascii="Open Sans" w:eastAsia="Times New Roman" w:hAnsi="Open Sans" w:cs="Times New Roman"/>
                <w:color w:val="003B43"/>
                <w:sz w:val="19"/>
                <w:szCs w:val="19"/>
              </w:rPr>
              <w:t>Female</w:t>
            </w:r>
          </w:p>
        </w:tc>
        <w:tc>
          <w:tcPr>
            <w:tcW w:w="891" w:type="pct"/>
            <w:shd w:val="clear" w:color="auto" w:fill="DEEAF6" w:themeFill="accent1" w:themeFillTint="33"/>
            <w:tcMar>
              <w:top w:w="75" w:type="dxa"/>
              <w:left w:w="75" w:type="dxa"/>
              <w:bottom w:w="75" w:type="dxa"/>
              <w:right w:w="75" w:type="dxa"/>
            </w:tcMar>
            <w:vAlign w:val="center"/>
          </w:tcPr>
          <w:p w14:paraId="0457269D"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Pr>
                <w:rFonts w:ascii="Open Sans" w:eastAsia="Times New Roman" w:hAnsi="Open Sans" w:cs="Times New Roman"/>
                <w:color w:val="003B43"/>
                <w:sz w:val="19"/>
                <w:szCs w:val="19"/>
              </w:rPr>
              <w:t>%Female</w:t>
            </w:r>
          </w:p>
        </w:tc>
        <w:tc>
          <w:tcPr>
            <w:tcW w:w="996" w:type="pct"/>
            <w:shd w:val="clear" w:color="auto" w:fill="DEEAF6" w:themeFill="accent1" w:themeFillTint="33"/>
            <w:tcMar>
              <w:top w:w="75" w:type="dxa"/>
              <w:left w:w="75" w:type="dxa"/>
              <w:bottom w:w="75" w:type="dxa"/>
              <w:right w:w="75" w:type="dxa"/>
            </w:tcMar>
            <w:vAlign w:val="center"/>
          </w:tcPr>
          <w:p w14:paraId="1E711746" w14:textId="77777777" w:rsidR="007751E2" w:rsidRPr="00647989" w:rsidRDefault="007751E2" w:rsidP="005D1CAC">
            <w:pPr>
              <w:spacing w:before="15"/>
              <w:ind w:right="15"/>
              <w:rPr>
                <w:rFonts w:ascii="Open Sans" w:eastAsia="Times New Roman" w:hAnsi="Open Sans" w:cs="Times New Roman"/>
                <w:color w:val="003B43"/>
                <w:sz w:val="19"/>
                <w:szCs w:val="19"/>
              </w:rPr>
            </w:pPr>
            <w:r>
              <w:rPr>
                <w:rFonts w:ascii="Open Sans" w:eastAsia="Times New Roman" w:hAnsi="Open Sans" w:cs="Times New Roman"/>
                <w:color w:val="003B43"/>
                <w:sz w:val="19"/>
                <w:szCs w:val="19"/>
              </w:rPr>
              <w:t>Source</w:t>
            </w:r>
          </w:p>
        </w:tc>
      </w:tr>
      <w:tr w:rsidR="007751E2" w:rsidRPr="00647989" w14:paraId="1F112A72" w14:textId="77777777" w:rsidTr="007751E2">
        <w:tc>
          <w:tcPr>
            <w:tcW w:w="1021" w:type="pct"/>
            <w:tcMar>
              <w:top w:w="75" w:type="dxa"/>
              <w:left w:w="75" w:type="dxa"/>
              <w:bottom w:w="75" w:type="dxa"/>
              <w:right w:w="75" w:type="dxa"/>
            </w:tcMar>
            <w:vAlign w:val="center"/>
            <w:hideMark/>
          </w:tcPr>
          <w:p w14:paraId="74C96F30"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Austri</w:t>
            </w:r>
            <w:r>
              <w:rPr>
                <w:rFonts w:ascii="Open Sans" w:eastAsia="Times New Roman" w:hAnsi="Open Sans" w:cs="Times New Roman"/>
                <w:color w:val="003B43"/>
                <w:sz w:val="19"/>
                <w:szCs w:val="19"/>
              </w:rPr>
              <w:t>a</w:t>
            </w:r>
          </w:p>
        </w:tc>
        <w:tc>
          <w:tcPr>
            <w:tcW w:w="619" w:type="pct"/>
            <w:tcMar>
              <w:top w:w="75" w:type="dxa"/>
              <w:left w:w="75" w:type="dxa"/>
              <w:bottom w:w="75" w:type="dxa"/>
              <w:right w:w="75" w:type="dxa"/>
            </w:tcMar>
            <w:vAlign w:val="center"/>
            <w:hideMark/>
          </w:tcPr>
          <w:p w14:paraId="6EBB7640"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2010</w:t>
            </w:r>
          </w:p>
        </w:tc>
        <w:tc>
          <w:tcPr>
            <w:tcW w:w="737" w:type="pct"/>
            <w:tcMar>
              <w:top w:w="75" w:type="dxa"/>
              <w:left w:w="75" w:type="dxa"/>
              <w:bottom w:w="75" w:type="dxa"/>
              <w:right w:w="75" w:type="dxa"/>
            </w:tcMar>
            <w:vAlign w:val="center"/>
            <w:hideMark/>
          </w:tcPr>
          <w:p w14:paraId="28B47228"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150,170</w:t>
            </w:r>
          </w:p>
        </w:tc>
        <w:tc>
          <w:tcPr>
            <w:tcW w:w="737" w:type="pct"/>
            <w:tcMar>
              <w:top w:w="75" w:type="dxa"/>
              <w:left w:w="75" w:type="dxa"/>
              <w:bottom w:w="75" w:type="dxa"/>
              <w:right w:w="75" w:type="dxa"/>
            </w:tcMar>
            <w:vAlign w:val="center"/>
            <w:hideMark/>
          </w:tcPr>
          <w:p w14:paraId="2D8C3A94"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51,780</w:t>
            </w:r>
          </w:p>
        </w:tc>
        <w:tc>
          <w:tcPr>
            <w:tcW w:w="891" w:type="pct"/>
            <w:tcMar>
              <w:top w:w="75" w:type="dxa"/>
              <w:left w:w="75" w:type="dxa"/>
              <w:bottom w:w="75" w:type="dxa"/>
              <w:right w:w="75" w:type="dxa"/>
            </w:tcMar>
            <w:vAlign w:val="center"/>
            <w:hideMark/>
          </w:tcPr>
          <w:p w14:paraId="77B015A1"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34.5%</w:t>
            </w:r>
          </w:p>
        </w:tc>
        <w:tc>
          <w:tcPr>
            <w:tcW w:w="996" w:type="pct"/>
            <w:tcMar>
              <w:top w:w="75" w:type="dxa"/>
              <w:left w:w="75" w:type="dxa"/>
              <w:bottom w:w="75" w:type="dxa"/>
              <w:right w:w="75" w:type="dxa"/>
            </w:tcMar>
            <w:vAlign w:val="center"/>
            <w:hideMark/>
          </w:tcPr>
          <w:p w14:paraId="393AC7D6"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Eurostat</w:t>
            </w:r>
          </w:p>
        </w:tc>
      </w:tr>
      <w:tr w:rsidR="007751E2" w:rsidRPr="00647989" w14:paraId="64670C74" w14:textId="77777777" w:rsidTr="007751E2">
        <w:tc>
          <w:tcPr>
            <w:tcW w:w="1021" w:type="pct"/>
            <w:tcMar>
              <w:top w:w="75" w:type="dxa"/>
              <w:left w:w="75" w:type="dxa"/>
              <w:bottom w:w="75" w:type="dxa"/>
              <w:right w:w="75" w:type="dxa"/>
            </w:tcMar>
            <w:vAlign w:val="center"/>
            <w:hideMark/>
          </w:tcPr>
          <w:p w14:paraId="709618C0"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Belgium</w:t>
            </w:r>
          </w:p>
        </w:tc>
        <w:tc>
          <w:tcPr>
            <w:tcW w:w="619" w:type="pct"/>
            <w:tcMar>
              <w:top w:w="75" w:type="dxa"/>
              <w:left w:w="75" w:type="dxa"/>
              <w:bottom w:w="75" w:type="dxa"/>
              <w:right w:w="75" w:type="dxa"/>
            </w:tcMar>
            <w:vAlign w:val="center"/>
            <w:hideMark/>
          </w:tcPr>
          <w:p w14:paraId="49406693"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2010</w:t>
            </w:r>
          </w:p>
        </w:tc>
        <w:tc>
          <w:tcPr>
            <w:tcW w:w="737" w:type="pct"/>
            <w:tcMar>
              <w:top w:w="75" w:type="dxa"/>
              <w:left w:w="75" w:type="dxa"/>
              <w:bottom w:w="75" w:type="dxa"/>
              <w:right w:w="75" w:type="dxa"/>
            </w:tcMar>
            <w:vAlign w:val="center"/>
            <w:hideMark/>
          </w:tcPr>
          <w:p w14:paraId="46ABF3BD"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42,850</w:t>
            </w:r>
          </w:p>
        </w:tc>
        <w:tc>
          <w:tcPr>
            <w:tcW w:w="737" w:type="pct"/>
            <w:tcMar>
              <w:top w:w="75" w:type="dxa"/>
              <w:left w:w="75" w:type="dxa"/>
              <w:bottom w:w="75" w:type="dxa"/>
              <w:right w:w="75" w:type="dxa"/>
            </w:tcMar>
            <w:vAlign w:val="center"/>
            <w:hideMark/>
          </w:tcPr>
          <w:p w14:paraId="4DB2676F"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6,450</w:t>
            </w:r>
          </w:p>
        </w:tc>
        <w:tc>
          <w:tcPr>
            <w:tcW w:w="891" w:type="pct"/>
            <w:tcMar>
              <w:top w:w="75" w:type="dxa"/>
              <w:left w:w="75" w:type="dxa"/>
              <w:bottom w:w="75" w:type="dxa"/>
              <w:right w:w="75" w:type="dxa"/>
            </w:tcMar>
            <w:vAlign w:val="center"/>
            <w:hideMark/>
          </w:tcPr>
          <w:p w14:paraId="5036FBFE"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15.1%</w:t>
            </w:r>
          </w:p>
        </w:tc>
        <w:tc>
          <w:tcPr>
            <w:tcW w:w="996" w:type="pct"/>
            <w:tcMar>
              <w:top w:w="75" w:type="dxa"/>
              <w:left w:w="75" w:type="dxa"/>
              <w:bottom w:w="75" w:type="dxa"/>
              <w:right w:w="75" w:type="dxa"/>
            </w:tcMar>
            <w:vAlign w:val="center"/>
            <w:hideMark/>
          </w:tcPr>
          <w:p w14:paraId="686E23FA"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Eurostat</w:t>
            </w:r>
          </w:p>
        </w:tc>
      </w:tr>
      <w:tr w:rsidR="007751E2" w:rsidRPr="00647989" w14:paraId="0B2C305A" w14:textId="77777777" w:rsidTr="007751E2">
        <w:tc>
          <w:tcPr>
            <w:tcW w:w="1021" w:type="pct"/>
            <w:tcMar>
              <w:top w:w="75" w:type="dxa"/>
              <w:left w:w="75" w:type="dxa"/>
              <w:bottom w:w="75" w:type="dxa"/>
              <w:right w:w="75" w:type="dxa"/>
            </w:tcMar>
            <w:vAlign w:val="center"/>
            <w:hideMark/>
          </w:tcPr>
          <w:p w14:paraId="6055A7CA"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Bulgaria</w:t>
            </w:r>
          </w:p>
        </w:tc>
        <w:tc>
          <w:tcPr>
            <w:tcW w:w="619" w:type="pct"/>
            <w:tcMar>
              <w:top w:w="75" w:type="dxa"/>
              <w:left w:w="75" w:type="dxa"/>
              <w:bottom w:w="75" w:type="dxa"/>
              <w:right w:w="75" w:type="dxa"/>
            </w:tcMar>
            <w:vAlign w:val="center"/>
            <w:hideMark/>
          </w:tcPr>
          <w:p w14:paraId="5112CE91"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2010</w:t>
            </w:r>
          </w:p>
        </w:tc>
        <w:tc>
          <w:tcPr>
            <w:tcW w:w="737" w:type="pct"/>
            <w:tcMar>
              <w:top w:w="75" w:type="dxa"/>
              <w:left w:w="75" w:type="dxa"/>
              <w:bottom w:w="75" w:type="dxa"/>
              <w:right w:w="75" w:type="dxa"/>
            </w:tcMar>
            <w:vAlign w:val="center"/>
            <w:hideMark/>
          </w:tcPr>
          <w:p w14:paraId="598B76E0"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370,490</w:t>
            </w:r>
          </w:p>
        </w:tc>
        <w:tc>
          <w:tcPr>
            <w:tcW w:w="737" w:type="pct"/>
            <w:tcMar>
              <w:top w:w="75" w:type="dxa"/>
              <w:left w:w="75" w:type="dxa"/>
              <w:bottom w:w="75" w:type="dxa"/>
              <w:right w:w="75" w:type="dxa"/>
            </w:tcMar>
            <w:vAlign w:val="center"/>
            <w:hideMark/>
          </w:tcPr>
          <w:p w14:paraId="565C6649"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84,350</w:t>
            </w:r>
          </w:p>
        </w:tc>
        <w:tc>
          <w:tcPr>
            <w:tcW w:w="891" w:type="pct"/>
            <w:tcMar>
              <w:top w:w="75" w:type="dxa"/>
              <w:left w:w="75" w:type="dxa"/>
              <w:bottom w:w="75" w:type="dxa"/>
              <w:right w:w="75" w:type="dxa"/>
            </w:tcMar>
            <w:vAlign w:val="center"/>
            <w:hideMark/>
          </w:tcPr>
          <w:p w14:paraId="31CCE27A"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22.8%</w:t>
            </w:r>
          </w:p>
        </w:tc>
        <w:tc>
          <w:tcPr>
            <w:tcW w:w="996" w:type="pct"/>
            <w:tcMar>
              <w:top w:w="75" w:type="dxa"/>
              <w:left w:w="75" w:type="dxa"/>
              <w:bottom w:w="75" w:type="dxa"/>
              <w:right w:w="75" w:type="dxa"/>
            </w:tcMar>
            <w:vAlign w:val="center"/>
            <w:hideMark/>
          </w:tcPr>
          <w:p w14:paraId="1C1921A3"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Eurostat</w:t>
            </w:r>
          </w:p>
        </w:tc>
      </w:tr>
      <w:tr w:rsidR="007751E2" w:rsidRPr="00647989" w14:paraId="15776DC8" w14:textId="77777777" w:rsidTr="007751E2">
        <w:tc>
          <w:tcPr>
            <w:tcW w:w="1021" w:type="pct"/>
            <w:tcMar>
              <w:top w:w="75" w:type="dxa"/>
              <w:left w:w="75" w:type="dxa"/>
              <w:bottom w:w="75" w:type="dxa"/>
              <w:right w:w="75" w:type="dxa"/>
            </w:tcMar>
            <w:vAlign w:val="center"/>
            <w:hideMark/>
          </w:tcPr>
          <w:p w14:paraId="3947A0C5"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Croatia</w:t>
            </w:r>
          </w:p>
        </w:tc>
        <w:tc>
          <w:tcPr>
            <w:tcW w:w="619" w:type="pct"/>
            <w:tcMar>
              <w:top w:w="75" w:type="dxa"/>
              <w:left w:w="75" w:type="dxa"/>
              <w:bottom w:w="75" w:type="dxa"/>
              <w:right w:w="75" w:type="dxa"/>
            </w:tcMar>
            <w:vAlign w:val="center"/>
            <w:hideMark/>
          </w:tcPr>
          <w:p w14:paraId="0BEF88A0"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2010</w:t>
            </w:r>
          </w:p>
        </w:tc>
        <w:tc>
          <w:tcPr>
            <w:tcW w:w="737" w:type="pct"/>
            <w:tcMar>
              <w:top w:w="75" w:type="dxa"/>
              <w:left w:w="75" w:type="dxa"/>
              <w:bottom w:w="75" w:type="dxa"/>
              <w:right w:w="75" w:type="dxa"/>
            </w:tcMar>
            <w:vAlign w:val="center"/>
            <w:hideMark/>
          </w:tcPr>
          <w:p w14:paraId="7F591A8B"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233,280</w:t>
            </w:r>
          </w:p>
        </w:tc>
        <w:tc>
          <w:tcPr>
            <w:tcW w:w="737" w:type="pct"/>
            <w:tcMar>
              <w:top w:w="75" w:type="dxa"/>
              <w:left w:w="75" w:type="dxa"/>
              <w:bottom w:w="75" w:type="dxa"/>
              <w:right w:w="75" w:type="dxa"/>
            </w:tcMar>
            <w:vAlign w:val="center"/>
            <w:hideMark/>
          </w:tcPr>
          <w:p w14:paraId="185C3E16"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51,400</w:t>
            </w:r>
          </w:p>
        </w:tc>
        <w:tc>
          <w:tcPr>
            <w:tcW w:w="891" w:type="pct"/>
            <w:tcMar>
              <w:top w:w="75" w:type="dxa"/>
              <w:left w:w="75" w:type="dxa"/>
              <w:bottom w:w="75" w:type="dxa"/>
              <w:right w:w="75" w:type="dxa"/>
            </w:tcMar>
            <w:vAlign w:val="center"/>
            <w:hideMark/>
          </w:tcPr>
          <w:p w14:paraId="25C68193"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22.0%</w:t>
            </w:r>
          </w:p>
        </w:tc>
        <w:tc>
          <w:tcPr>
            <w:tcW w:w="996" w:type="pct"/>
            <w:tcMar>
              <w:top w:w="75" w:type="dxa"/>
              <w:left w:w="75" w:type="dxa"/>
              <w:bottom w:w="75" w:type="dxa"/>
              <w:right w:w="75" w:type="dxa"/>
            </w:tcMar>
            <w:vAlign w:val="center"/>
            <w:hideMark/>
          </w:tcPr>
          <w:p w14:paraId="4B65A4FD"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Eurostat</w:t>
            </w:r>
          </w:p>
        </w:tc>
      </w:tr>
      <w:tr w:rsidR="007751E2" w:rsidRPr="00647989" w14:paraId="44CF37A0" w14:textId="77777777" w:rsidTr="007751E2">
        <w:tc>
          <w:tcPr>
            <w:tcW w:w="1021" w:type="pct"/>
            <w:tcMar>
              <w:top w:w="75" w:type="dxa"/>
              <w:left w:w="75" w:type="dxa"/>
              <w:bottom w:w="75" w:type="dxa"/>
              <w:right w:w="75" w:type="dxa"/>
            </w:tcMar>
            <w:vAlign w:val="center"/>
            <w:hideMark/>
          </w:tcPr>
          <w:p w14:paraId="21BB4C67"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Cyprus</w:t>
            </w:r>
          </w:p>
        </w:tc>
        <w:tc>
          <w:tcPr>
            <w:tcW w:w="619" w:type="pct"/>
            <w:tcMar>
              <w:top w:w="75" w:type="dxa"/>
              <w:left w:w="75" w:type="dxa"/>
              <w:bottom w:w="75" w:type="dxa"/>
              <w:right w:w="75" w:type="dxa"/>
            </w:tcMar>
            <w:vAlign w:val="center"/>
            <w:hideMark/>
          </w:tcPr>
          <w:p w14:paraId="296ECE7B"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2010</w:t>
            </w:r>
          </w:p>
        </w:tc>
        <w:tc>
          <w:tcPr>
            <w:tcW w:w="737" w:type="pct"/>
            <w:tcMar>
              <w:top w:w="75" w:type="dxa"/>
              <w:left w:w="75" w:type="dxa"/>
              <w:bottom w:w="75" w:type="dxa"/>
              <w:right w:w="75" w:type="dxa"/>
            </w:tcMar>
            <w:vAlign w:val="center"/>
            <w:hideMark/>
          </w:tcPr>
          <w:p w14:paraId="1AF40DF7"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38,860</w:t>
            </w:r>
          </w:p>
        </w:tc>
        <w:tc>
          <w:tcPr>
            <w:tcW w:w="737" w:type="pct"/>
            <w:tcMar>
              <w:top w:w="75" w:type="dxa"/>
              <w:left w:w="75" w:type="dxa"/>
              <w:bottom w:w="75" w:type="dxa"/>
              <w:right w:w="75" w:type="dxa"/>
            </w:tcMar>
            <w:vAlign w:val="center"/>
            <w:hideMark/>
          </w:tcPr>
          <w:p w14:paraId="1FC888EF"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8,010</w:t>
            </w:r>
          </w:p>
        </w:tc>
        <w:tc>
          <w:tcPr>
            <w:tcW w:w="891" w:type="pct"/>
            <w:tcMar>
              <w:top w:w="75" w:type="dxa"/>
              <w:left w:w="75" w:type="dxa"/>
              <w:bottom w:w="75" w:type="dxa"/>
              <w:right w:w="75" w:type="dxa"/>
            </w:tcMar>
            <w:vAlign w:val="center"/>
            <w:hideMark/>
          </w:tcPr>
          <w:p w14:paraId="6B3A083F"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20.6%</w:t>
            </w:r>
          </w:p>
        </w:tc>
        <w:tc>
          <w:tcPr>
            <w:tcW w:w="996" w:type="pct"/>
            <w:tcMar>
              <w:top w:w="75" w:type="dxa"/>
              <w:left w:w="75" w:type="dxa"/>
              <w:bottom w:w="75" w:type="dxa"/>
              <w:right w:w="75" w:type="dxa"/>
            </w:tcMar>
            <w:vAlign w:val="center"/>
            <w:hideMark/>
          </w:tcPr>
          <w:p w14:paraId="2C5B4768"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Eurostat</w:t>
            </w:r>
          </w:p>
        </w:tc>
      </w:tr>
      <w:tr w:rsidR="007751E2" w:rsidRPr="00647989" w14:paraId="7E140885" w14:textId="77777777" w:rsidTr="007751E2">
        <w:tc>
          <w:tcPr>
            <w:tcW w:w="1021" w:type="pct"/>
            <w:tcMar>
              <w:top w:w="75" w:type="dxa"/>
              <w:left w:w="75" w:type="dxa"/>
              <w:bottom w:w="75" w:type="dxa"/>
              <w:right w:w="75" w:type="dxa"/>
            </w:tcMar>
            <w:vAlign w:val="center"/>
            <w:hideMark/>
          </w:tcPr>
          <w:p w14:paraId="5C95BC9B"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Czech Republic</w:t>
            </w:r>
          </w:p>
        </w:tc>
        <w:tc>
          <w:tcPr>
            <w:tcW w:w="619" w:type="pct"/>
            <w:tcMar>
              <w:top w:w="75" w:type="dxa"/>
              <w:left w:w="75" w:type="dxa"/>
              <w:bottom w:w="75" w:type="dxa"/>
              <w:right w:w="75" w:type="dxa"/>
            </w:tcMar>
            <w:vAlign w:val="center"/>
            <w:hideMark/>
          </w:tcPr>
          <w:p w14:paraId="77716B16"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2010</w:t>
            </w:r>
          </w:p>
        </w:tc>
        <w:tc>
          <w:tcPr>
            <w:tcW w:w="737" w:type="pct"/>
            <w:tcMar>
              <w:top w:w="75" w:type="dxa"/>
              <w:left w:w="75" w:type="dxa"/>
              <w:bottom w:w="75" w:type="dxa"/>
              <w:right w:w="75" w:type="dxa"/>
            </w:tcMar>
            <w:vAlign w:val="center"/>
            <w:hideMark/>
          </w:tcPr>
          <w:p w14:paraId="55261098"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22,860</w:t>
            </w:r>
          </w:p>
        </w:tc>
        <w:tc>
          <w:tcPr>
            <w:tcW w:w="737" w:type="pct"/>
            <w:tcMar>
              <w:top w:w="75" w:type="dxa"/>
              <w:left w:w="75" w:type="dxa"/>
              <w:bottom w:w="75" w:type="dxa"/>
              <w:right w:w="75" w:type="dxa"/>
            </w:tcMar>
            <w:vAlign w:val="center"/>
            <w:hideMark/>
          </w:tcPr>
          <w:p w14:paraId="30577CBF"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3,450</w:t>
            </w:r>
          </w:p>
        </w:tc>
        <w:tc>
          <w:tcPr>
            <w:tcW w:w="891" w:type="pct"/>
            <w:tcMar>
              <w:top w:w="75" w:type="dxa"/>
              <w:left w:w="75" w:type="dxa"/>
              <w:bottom w:w="75" w:type="dxa"/>
              <w:right w:w="75" w:type="dxa"/>
            </w:tcMar>
            <w:vAlign w:val="center"/>
            <w:hideMark/>
          </w:tcPr>
          <w:p w14:paraId="275989F3"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15.1%</w:t>
            </w:r>
          </w:p>
        </w:tc>
        <w:tc>
          <w:tcPr>
            <w:tcW w:w="996" w:type="pct"/>
            <w:tcMar>
              <w:top w:w="75" w:type="dxa"/>
              <w:left w:w="75" w:type="dxa"/>
              <w:bottom w:w="75" w:type="dxa"/>
              <w:right w:w="75" w:type="dxa"/>
            </w:tcMar>
            <w:vAlign w:val="center"/>
            <w:hideMark/>
          </w:tcPr>
          <w:p w14:paraId="310DEB99"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Eurostat</w:t>
            </w:r>
          </w:p>
        </w:tc>
      </w:tr>
      <w:tr w:rsidR="007751E2" w:rsidRPr="00647989" w14:paraId="366A66DB" w14:textId="77777777" w:rsidTr="007751E2">
        <w:tc>
          <w:tcPr>
            <w:tcW w:w="1021" w:type="pct"/>
            <w:tcMar>
              <w:top w:w="75" w:type="dxa"/>
              <w:left w:w="75" w:type="dxa"/>
              <w:bottom w:w="75" w:type="dxa"/>
              <w:right w:w="75" w:type="dxa"/>
            </w:tcMar>
            <w:vAlign w:val="center"/>
            <w:hideMark/>
          </w:tcPr>
          <w:p w14:paraId="6197E281"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Denmark</w:t>
            </w:r>
          </w:p>
        </w:tc>
        <w:tc>
          <w:tcPr>
            <w:tcW w:w="619" w:type="pct"/>
            <w:tcMar>
              <w:top w:w="75" w:type="dxa"/>
              <w:left w:w="75" w:type="dxa"/>
              <w:bottom w:w="75" w:type="dxa"/>
              <w:right w:w="75" w:type="dxa"/>
            </w:tcMar>
            <w:vAlign w:val="center"/>
            <w:hideMark/>
          </w:tcPr>
          <w:p w14:paraId="1AD96960"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2010</w:t>
            </w:r>
          </w:p>
        </w:tc>
        <w:tc>
          <w:tcPr>
            <w:tcW w:w="737" w:type="pct"/>
            <w:tcMar>
              <w:top w:w="75" w:type="dxa"/>
              <w:left w:w="75" w:type="dxa"/>
              <w:bottom w:w="75" w:type="dxa"/>
              <w:right w:w="75" w:type="dxa"/>
            </w:tcMar>
            <w:vAlign w:val="center"/>
            <w:hideMark/>
          </w:tcPr>
          <w:p w14:paraId="21AC3AAE"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42,100</w:t>
            </w:r>
          </w:p>
        </w:tc>
        <w:tc>
          <w:tcPr>
            <w:tcW w:w="737" w:type="pct"/>
            <w:tcMar>
              <w:top w:w="75" w:type="dxa"/>
              <w:left w:w="75" w:type="dxa"/>
              <w:bottom w:w="75" w:type="dxa"/>
              <w:right w:w="75" w:type="dxa"/>
            </w:tcMar>
            <w:vAlign w:val="center"/>
            <w:hideMark/>
          </w:tcPr>
          <w:p w14:paraId="6753DE87"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3,770</w:t>
            </w:r>
          </w:p>
        </w:tc>
        <w:tc>
          <w:tcPr>
            <w:tcW w:w="891" w:type="pct"/>
            <w:tcMar>
              <w:top w:w="75" w:type="dxa"/>
              <w:left w:w="75" w:type="dxa"/>
              <w:bottom w:w="75" w:type="dxa"/>
              <w:right w:w="75" w:type="dxa"/>
            </w:tcMar>
            <w:vAlign w:val="center"/>
            <w:hideMark/>
          </w:tcPr>
          <w:p w14:paraId="178CDF86"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9.0%</w:t>
            </w:r>
          </w:p>
        </w:tc>
        <w:tc>
          <w:tcPr>
            <w:tcW w:w="996" w:type="pct"/>
            <w:tcMar>
              <w:top w:w="75" w:type="dxa"/>
              <w:left w:w="75" w:type="dxa"/>
              <w:bottom w:w="75" w:type="dxa"/>
              <w:right w:w="75" w:type="dxa"/>
            </w:tcMar>
            <w:vAlign w:val="center"/>
            <w:hideMark/>
          </w:tcPr>
          <w:p w14:paraId="1267E289"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Eurostat</w:t>
            </w:r>
          </w:p>
        </w:tc>
      </w:tr>
      <w:tr w:rsidR="007751E2" w:rsidRPr="00647989" w14:paraId="3EDB5981" w14:textId="77777777" w:rsidTr="007751E2">
        <w:tc>
          <w:tcPr>
            <w:tcW w:w="1021" w:type="pct"/>
            <w:tcMar>
              <w:top w:w="75" w:type="dxa"/>
              <w:left w:w="75" w:type="dxa"/>
              <w:bottom w:w="75" w:type="dxa"/>
              <w:right w:w="75" w:type="dxa"/>
            </w:tcMar>
            <w:vAlign w:val="center"/>
            <w:hideMark/>
          </w:tcPr>
          <w:p w14:paraId="2AF8A52B"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Estonia</w:t>
            </w:r>
          </w:p>
        </w:tc>
        <w:tc>
          <w:tcPr>
            <w:tcW w:w="619" w:type="pct"/>
            <w:tcMar>
              <w:top w:w="75" w:type="dxa"/>
              <w:left w:w="75" w:type="dxa"/>
              <w:bottom w:w="75" w:type="dxa"/>
              <w:right w:w="75" w:type="dxa"/>
            </w:tcMar>
            <w:vAlign w:val="center"/>
            <w:hideMark/>
          </w:tcPr>
          <w:p w14:paraId="1FE532A6"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2010</w:t>
            </w:r>
          </w:p>
        </w:tc>
        <w:tc>
          <w:tcPr>
            <w:tcW w:w="737" w:type="pct"/>
            <w:tcMar>
              <w:top w:w="75" w:type="dxa"/>
              <w:left w:w="75" w:type="dxa"/>
              <w:bottom w:w="75" w:type="dxa"/>
              <w:right w:w="75" w:type="dxa"/>
            </w:tcMar>
            <w:vAlign w:val="center"/>
            <w:hideMark/>
          </w:tcPr>
          <w:p w14:paraId="36D4BD7B"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19,610</w:t>
            </w:r>
          </w:p>
        </w:tc>
        <w:tc>
          <w:tcPr>
            <w:tcW w:w="737" w:type="pct"/>
            <w:tcMar>
              <w:top w:w="75" w:type="dxa"/>
              <w:left w:w="75" w:type="dxa"/>
              <w:bottom w:w="75" w:type="dxa"/>
              <w:right w:w="75" w:type="dxa"/>
            </w:tcMar>
            <w:vAlign w:val="center"/>
            <w:hideMark/>
          </w:tcPr>
          <w:p w14:paraId="1A75F3D9"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7,020</w:t>
            </w:r>
          </w:p>
        </w:tc>
        <w:tc>
          <w:tcPr>
            <w:tcW w:w="891" w:type="pct"/>
            <w:tcMar>
              <w:top w:w="75" w:type="dxa"/>
              <w:left w:w="75" w:type="dxa"/>
              <w:bottom w:w="75" w:type="dxa"/>
              <w:right w:w="75" w:type="dxa"/>
            </w:tcMar>
            <w:vAlign w:val="center"/>
            <w:hideMark/>
          </w:tcPr>
          <w:p w14:paraId="3A188F58"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35.8%</w:t>
            </w:r>
          </w:p>
        </w:tc>
        <w:tc>
          <w:tcPr>
            <w:tcW w:w="996" w:type="pct"/>
            <w:tcMar>
              <w:top w:w="75" w:type="dxa"/>
              <w:left w:w="75" w:type="dxa"/>
              <w:bottom w:w="75" w:type="dxa"/>
              <w:right w:w="75" w:type="dxa"/>
            </w:tcMar>
            <w:vAlign w:val="center"/>
            <w:hideMark/>
          </w:tcPr>
          <w:p w14:paraId="5B3FEFB2"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Eurostat</w:t>
            </w:r>
          </w:p>
        </w:tc>
      </w:tr>
      <w:tr w:rsidR="007751E2" w:rsidRPr="00647989" w14:paraId="017F99B5" w14:textId="77777777" w:rsidTr="007751E2">
        <w:tc>
          <w:tcPr>
            <w:tcW w:w="1021" w:type="pct"/>
            <w:tcMar>
              <w:top w:w="75" w:type="dxa"/>
              <w:left w:w="75" w:type="dxa"/>
              <w:bottom w:w="75" w:type="dxa"/>
              <w:right w:w="75" w:type="dxa"/>
            </w:tcMar>
            <w:vAlign w:val="center"/>
            <w:hideMark/>
          </w:tcPr>
          <w:p w14:paraId="00057B8A"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Finland</w:t>
            </w:r>
          </w:p>
        </w:tc>
        <w:tc>
          <w:tcPr>
            <w:tcW w:w="619" w:type="pct"/>
            <w:tcMar>
              <w:top w:w="75" w:type="dxa"/>
              <w:left w:w="75" w:type="dxa"/>
              <w:bottom w:w="75" w:type="dxa"/>
              <w:right w:w="75" w:type="dxa"/>
            </w:tcMar>
            <w:vAlign w:val="center"/>
            <w:hideMark/>
          </w:tcPr>
          <w:p w14:paraId="6D611028"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2010</w:t>
            </w:r>
          </w:p>
        </w:tc>
        <w:tc>
          <w:tcPr>
            <w:tcW w:w="737" w:type="pct"/>
            <w:tcMar>
              <w:top w:w="75" w:type="dxa"/>
              <w:left w:w="75" w:type="dxa"/>
              <w:bottom w:w="75" w:type="dxa"/>
              <w:right w:w="75" w:type="dxa"/>
            </w:tcMar>
            <w:vAlign w:val="center"/>
            <w:hideMark/>
          </w:tcPr>
          <w:p w14:paraId="3FB5C31F"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63,870</w:t>
            </w:r>
          </w:p>
        </w:tc>
        <w:tc>
          <w:tcPr>
            <w:tcW w:w="737" w:type="pct"/>
            <w:tcMar>
              <w:top w:w="75" w:type="dxa"/>
              <w:left w:w="75" w:type="dxa"/>
              <w:bottom w:w="75" w:type="dxa"/>
              <w:right w:w="75" w:type="dxa"/>
            </w:tcMar>
            <w:vAlign w:val="center"/>
            <w:hideMark/>
          </w:tcPr>
          <w:p w14:paraId="3B0B55F4"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7,100</w:t>
            </w:r>
          </w:p>
        </w:tc>
        <w:tc>
          <w:tcPr>
            <w:tcW w:w="891" w:type="pct"/>
            <w:tcMar>
              <w:top w:w="75" w:type="dxa"/>
              <w:left w:w="75" w:type="dxa"/>
              <w:bottom w:w="75" w:type="dxa"/>
              <w:right w:w="75" w:type="dxa"/>
            </w:tcMar>
            <w:vAlign w:val="center"/>
            <w:hideMark/>
          </w:tcPr>
          <w:p w14:paraId="3CED3560"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11.1%</w:t>
            </w:r>
          </w:p>
        </w:tc>
        <w:tc>
          <w:tcPr>
            <w:tcW w:w="996" w:type="pct"/>
            <w:tcMar>
              <w:top w:w="75" w:type="dxa"/>
              <w:left w:w="75" w:type="dxa"/>
              <w:bottom w:w="75" w:type="dxa"/>
              <w:right w:w="75" w:type="dxa"/>
            </w:tcMar>
            <w:vAlign w:val="center"/>
            <w:hideMark/>
          </w:tcPr>
          <w:p w14:paraId="73258581"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Eurostat</w:t>
            </w:r>
          </w:p>
        </w:tc>
      </w:tr>
      <w:tr w:rsidR="007751E2" w:rsidRPr="00647989" w14:paraId="6F4E6309" w14:textId="77777777" w:rsidTr="007751E2">
        <w:tc>
          <w:tcPr>
            <w:tcW w:w="1021" w:type="pct"/>
            <w:tcMar>
              <w:top w:w="75" w:type="dxa"/>
              <w:left w:w="75" w:type="dxa"/>
              <w:bottom w:w="75" w:type="dxa"/>
              <w:right w:w="75" w:type="dxa"/>
            </w:tcMar>
            <w:vAlign w:val="center"/>
            <w:hideMark/>
          </w:tcPr>
          <w:p w14:paraId="17386157"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France</w:t>
            </w:r>
          </w:p>
        </w:tc>
        <w:tc>
          <w:tcPr>
            <w:tcW w:w="619" w:type="pct"/>
            <w:tcMar>
              <w:top w:w="75" w:type="dxa"/>
              <w:left w:w="75" w:type="dxa"/>
              <w:bottom w:w="75" w:type="dxa"/>
              <w:right w:w="75" w:type="dxa"/>
            </w:tcMar>
            <w:vAlign w:val="center"/>
            <w:hideMark/>
          </w:tcPr>
          <w:p w14:paraId="68FAFD01"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2010</w:t>
            </w:r>
          </w:p>
        </w:tc>
        <w:tc>
          <w:tcPr>
            <w:tcW w:w="737" w:type="pct"/>
            <w:tcMar>
              <w:top w:w="75" w:type="dxa"/>
              <w:left w:w="75" w:type="dxa"/>
              <w:bottom w:w="75" w:type="dxa"/>
              <w:right w:w="75" w:type="dxa"/>
            </w:tcMar>
            <w:vAlign w:val="center"/>
            <w:hideMark/>
          </w:tcPr>
          <w:p w14:paraId="7FC8EFC1"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516,100</w:t>
            </w:r>
          </w:p>
        </w:tc>
        <w:tc>
          <w:tcPr>
            <w:tcW w:w="737" w:type="pct"/>
            <w:tcMar>
              <w:top w:w="75" w:type="dxa"/>
              <w:left w:w="75" w:type="dxa"/>
              <w:bottom w:w="75" w:type="dxa"/>
              <w:right w:w="75" w:type="dxa"/>
            </w:tcMar>
            <w:vAlign w:val="center"/>
            <w:hideMark/>
          </w:tcPr>
          <w:p w14:paraId="5AA2C648"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117,120</w:t>
            </w:r>
          </w:p>
        </w:tc>
        <w:tc>
          <w:tcPr>
            <w:tcW w:w="891" w:type="pct"/>
            <w:tcMar>
              <w:top w:w="75" w:type="dxa"/>
              <w:left w:w="75" w:type="dxa"/>
              <w:bottom w:w="75" w:type="dxa"/>
              <w:right w:w="75" w:type="dxa"/>
            </w:tcMar>
            <w:vAlign w:val="center"/>
            <w:hideMark/>
          </w:tcPr>
          <w:p w14:paraId="319DAC12"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22.7%</w:t>
            </w:r>
          </w:p>
        </w:tc>
        <w:tc>
          <w:tcPr>
            <w:tcW w:w="996" w:type="pct"/>
            <w:tcMar>
              <w:top w:w="75" w:type="dxa"/>
              <w:left w:w="75" w:type="dxa"/>
              <w:bottom w:w="75" w:type="dxa"/>
              <w:right w:w="75" w:type="dxa"/>
            </w:tcMar>
            <w:vAlign w:val="center"/>
            <w:hideMark/>
          </w:tcPr>
          <w:p w14:paraId="08DF084F"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Eurostat</w:t>
            </w:r>
          </w:p>
        </w:tc>
      </w:tr>
      <w:tr w:rsidR="007751E2" w:rsidRPr="00647989" w14:paraId="41BCFBB5" w14:textId="77777777" w:rsidTr="007751E2">
        <w:tc>
          <w:tcPr>
            <w:tcW w:w="1021" w:type="pct"/>
            <w:tcMar>
              <w:top w:w="75" w:type="dxa"/>
              <w:left w:w="75" w:type="dxa"/>
              <w:bottom w:w="75" w:type="dxa"/>
              <w:right w:w="75" w:type="dxa"/>
            </w:tcMar>
            <w:vAlign w:val="center"/>
            <w:hideMark/>
          </w:tcPr>
          <w:p w14:paraId="2D3A5425"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Germany</w:t>
            </w:r>
          </w:p>
        </w:tc>
        <w:tc>
          <w:tcPr>
            <w:tcW w:w="619" w:type="pct"/>
            <w:tcMar>
              <w:top w:w="75" w:type="dxa"/>
              <w:left w:w="75" w:type="dxa"/>
              <w:bottom w:w="75" w:type="dxa"/>
              <w:right w:w="75" w:type="dxa"/>
            </w:tcMar>
            <w:vAlign w:val="center"/>
            <w:hideMark/>
          </w:tcPr>
          <w:p w14:paraId="31BADD4B"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2010</w:t>
            </w:r>
          </w:p>
        </w:tc>
        <w:tc>
          <w:tcPr>
            <w:tcW w:w="737" w:type="pct"/>
            <w:tcMar>
              <w:top w:w="75" w:type="dxa"/>
              <w:left w:w="75" w:type="dxa"/>
              <w:bottom w:w="75" w:type="dxa"/>
              <w:right w:w="75" w:type="dxa"/>
            </w:tcMar>
            <w:vAlign w:val="center"/>
            <w:hideMark/>
          </w:tcPr>
          <w:p w14:paraId="68C85585"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299,130</w:t>
            </w:r>
          </w:p>
        </w:tc>
        <w:tc>
          <w:tcPr>
            <w:tcW w:w="737" w:type="pct"/>
            <w:tcMar>
              <w:top w:w="75" w:type="dxa"/>
              <w:left w:w="75" w:type="dxa"/>
              <w:bottom w:w="75" w:type="dxa"/>
              <w:right w:w="75" w:type="dxa"/>
            </w:tcMar>
            <w:vAlign w:val="center"/>
            <w:hideMark/>
          </w:tcPr>
          <w:p w14:paraId="6885AFE6"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25,220</w:t>
            </w:r>
          </w:p>
        </w:tc>
        <w:tc>
          <w:tcPr>
            <w:tcW w:w="891" w:type="pct"/>
            <w:tcMar>
              <w:top w:w="75" w:type="dxa"/>
              <w:left w:w="75" w:type="dxa"/>
              <w:bottom w:w="75" w:type="dxa"/>
              <w:right w:w="75" w:type="dxa"/>
            </w:tcMar>
            <w:vAlign w:val="center"/>
            <w:hideMark/>
          </w:tcPr>
          <w:p w14:paraId="6BB9E990"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8.4%</w:t>
            </w:r>
          </w:p>
        </w:tc>
        <w:tc>
          <w:tcPr>
            <w:tcW w:w="996" w:type="pct"/>
            <w:tcMar>
              <w:top w:w="75" w:type="dxa"/>
              <w:left w:w="75" w:type="dxa"/>
              <w:bottom w:w="75" w:type="dxa"/>
              <w:right w:w="75" w:type="dxa"/>
            </w:tcMar>
            <w:vAlign w:val="center"/>
            <w:hideMark/>
          </w:tcPr>
          <w:p w14:paraId="56421F70"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Eurostat</w:t>
            </w:r>
          </w:p>
        </w:tc>
      </w:tr>
      <w:tr w:rsidR="007751E2" w:rsidRPr="00647989" w14:paraId="35E39BCB" w14:textId="77777777" w:rsidTr="007751E2">
        <w:tc>
          <w:tcPr>
            <w:tcW w:w="1021" w:type="pct"/>
            <w:tcMar>
              <w:top w:w="75" w:type="dxa"/>
              <w:left w:w="75" w:type="dxa"/>
              <w:bottom w:w="75" w:type="dxa"/>
              <w:right w:w="75" w:type="dxa"/>
            </w:tcMar>
            <w:vAlign w:val="center"/>
            <w:hideMark/>
          </w:tcPr>
          <w:p w14:paraId="0A111770"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Greece</w:t>
            </w:r>
          </w:p>
        </w:tc>
        <w:tc>
          <w:tcPr>
            <w:tcW w:w="619" w:type="pct"/>
            <w:tcMar>
              <w:top w:w="75" w:type="dxa"/>
              <w:left w:w="75" w:type="dxa"/>
              <w:bottom w:w="75" w:type="dxa"/>
              <w:right w:w="75" w:type="dxa"/>
            </w:tcMar>
            <w:vAlign w:val="center"/>
            <w:hideMark/>
          </w:tcPr>
          <w:p w14:paraId="4CBCDE81"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2010</w:t>
            </w:r>
          </w:p>
        </w:tc>
        <w:tc>
          <w:tcPr>
            <w:tcW w:w="737" w:type="pct"/>
            <w:tcMar>
              <w:top w:w="75" w:type="dxa"/>
              <w:left w:w="75" w:type="dxa"/>
              <w:bottom w:w="75" w:type="dxa"/>
              <w:right w:w="75" w:type="dxa"/>
            </w:tcMar>
            <w:vAlign w:val="center"/>
            <w:hideMark/>
          </w:tcPr>
          <w:p w14:paraId="04B0EB42"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723,060</w:t>
            </w:r>
          </w:p>
        </w:tc>
        <w:tc>
          <w:tcPr>
            <w:tcW w:w="737" w:type="pct"/>
            <w:tcMar>
              <w:top w:w="75" w:type="dxa"/>
              <w:left w:w="75" w:type="dxa"/>
              <w:bottom w:w="75" w:type="dxa"/>
              <w:right w:w="75" w:type="dxa"/>
            </w:tcMar>
            <w:vAlign w:val="center"/>
            <w:hideMark/>
          </w:tcPr>
          <w:p w14:paraId="123E0823"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200,070</w:t>
            </w:r>
          </w:p>
        </w:tc>
        <w:tc>
          <w:tcPr>
            <w:tcW w:w="891" w:type="pct"/>
            <w:tcMar>
              <w:top w:w="75" w:type="dxa"/>
              <w:left w:w="75" w:type="dxa"/>
              <w:bottom w:w="75" w:type="dxa"/>
              <w:right w:w="75" w:type="dxa"/>
            </w:tcMar>
            <w:vAlign w:val="center"/>
            <w:hideMark/>
          </w:tcPr>
          <w:p w14:paraId="70CAF34A"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27.7%</w:t>
            </w:r>
          </w:p>
        </w:tc>
        <w:tc>
          <w:tcPr>
            <w:tcW w:w="996" w:type="pct"/>
            <w:tcMar>
              <w:top w:w="75" w:type="dxa"/>
              <w:left w:w="75" w:type="dxa"/>
              <w:bottom w:w="75" w:type="dxa"/>
              <w:right w:w="75" w:type="dxa"/>
            </w:tcMar>
            <w:vAlign w:val="center"/>
            <w:hideMark/>
          </w:tcPr>
          <w:p w14:paraId="34E45026"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Eurostat</w:t>
            </w:r>
          </w:p>
        </w:tc>
      </w:tr>
      <w:tr w:rsidR="007751E2" w:rsidRPr="00647989" w14:paraId="5EE6EE06" w14:textId="77777777" w:rsidTr="007751E2">
        <w:tc>
          <w:tcPr>
            <w:tcW w:w="1021" w:type="pct"/>
            <w:tcMar>
              <w:top w:w="75" w:type="dxa"/>
              <w:left w:w="75" w:type="dxa"/>
              <w:bottom w:w="75" w:type="dxa"/>
              <w:right w:w="75" w:type="dxa"/>
            </w:tcMar>
            <w:vAlign w:val="center"/>
            <w:hideMark/>
          </w:tcPr>
          <w:p w14:paraId="77DC9A5A"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Hungary</w:t>
            </w:r>
          </w:p>
        </w:tc>
        <w:tc>
          <w:tcPr>
            <w:tcW w:w="619" w:type="pct"/>
            <w:tcMar>
              <w:top w:w="75" w:type="dxa"/>
              <w:left w:w="75" w:type="dxa"/>
              <w:bottom w:w="75" w:type="dxa"/>
              <w:right w:w="75" w:type="dxa"/>
            </w:tcMar>
            <w:vAlign w:val="center"/>
            <w:hideMark/>
          </w:tcPr>
          <w:p w14:paraId="651A6634"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2010</w:t>
            </w:r>
          </w:p>
        </w:tc>
        <w:tc>
          <w:tcPr>
            <w:tcW w:w="737" w:type="pct"/>
            <w:tcMar>
              <w:top w:w="75" w:type="dxa"/>
              <w:left w:w="75" w:type="dxa"/>
              <w:bottom w:w="75" w:type="dxa"/>
              <w:right w:w="75" w:type="dxa"/>
            </w:tcMar>
            <w:vAlign w:val="center"/>
            <w:hideMark/>
          </w:tcPr>
          <w:p w14:paraId="40CFCE4E"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576,810</w:t>
            </w:r>
          </w:p>
        </w:tc>
        <w:tc>
          <w:tcPr>
            <w:tcW w:w="737" w:type="pct"/>
            <w:tcMar>
              <w:top w:w="75" w:type="dxa"/>
              <w:left w:w="75" w:type="dxa"/>
              <w:bottom w:w="75" w:type="dxa"/>
              <w:right w:w="75" w:type="dxa"/>
            </w:tcMar>
            <w:vAlign w:val="center"/>
            <w:hideMark/>
          </w:tcPr>
          <w:p w14:paraId="7F2A5203"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151,870</w:t>
            </w:r>
          </w:p>
        </w:tc>
        <w:tc>
          <w:tcPr>
            <w:tcW w:w="891" w:type="pct"/>
            <w:tcMar>
              <w:top w:w="75" w:type="dxa"/>
              <w:left w:w="75" w:type="dxa"/>
              <w:bottom w:w="75" w:type="dxa"/>
              <w:right w:w="75" w:type="dxa"/>
            </w:tcMar>
            <w:vAlign w:val="center"/>
            <w:hideMark/>
          </w:tcPr>
          <w:p w14:paraId="15992877"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26.3%</w:t>
            </w:r>
          </w:p>
        </w:tc>
        <w:tc>
          <w:tcPr>
            <w:tcW w:w="996" w:type="pct"/>
            <w:tcMar>
              <w:top w:w="75" w:type="dxa"/>
              <w:left w:w="75" w:type="dxa"/>
              <w:bottom w:w="75" w:type="dxa"/>
              <w:right w:w="75" w:type="dxa"/>
            </w:tcMar>
            <w:vAlign w:val="center"/>
            <w:hideMark/>
          </w:tcPr>
          <w:p w14:paraId="2FB21BF2"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Eurostat</w:t>
            </w:r>
          </w:p>
        </w:tc>
      </w:tr>
      <w:tr w:rsidR="007751E2" w:rsidRPr="00647989" w14:paraId="2D34B218" w14:textId="77777777" w:rsidTr="007751E2">
        <w:tc>
          <w:tcPr>
            <w:tcW w:w="1021" w:type="pct"/>
            <w:tcMar>
              <w:top w:w="75" w:type="dxa"/>
              <w:left w:w="75" w:type="dxa"/>
              <w:bottom w:w="75" w:type="dxa"/>
              <w:right w:w="75" w:type="dxa"/>
            </w:tcMar>
            <w:vAlign w:val="center"/>
            <w:hideMark/>
          </w:tcPr>
          <w:p w14:paraId="5C465796"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Iceland</w:t>
            </w:r>
          </w:p>
        </w:tc>
        <w:tc>
          <w:tcPr>
            <w:tcW w:w="619" w:type="pct"/>
            <w:tcMar>
              <w:top w:w="75" w:type="dxa"/>
              <w:left w:w="75" w:type="dxa"/>
              <w:bottom w:w="75" w:type="dxa"/>
              <w:right w:w="75" w:type="dxa"/>
            </w:tcMar>
            <w:vAlign w:val="center"/>
            <w:hideMark/>
          </w:tcPr>
          <w:p w14:paraId="119AF58E"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2010</w:t>
            </w:r>
          </w:p>
        </w:tc>
        <w:tc>
          <w:tcPr>
            <w:tcW w:w="737" w:type="pct"/>
            <w:tcMar>
              <w:top w:w="75" w:type="dxa"/>
              <w:left w:w="75" w:type="dxa"/>
              <w:bottom w:w="75" w:type="dxa"/>
              <w:right w:w="75" w:type="dxa"/>
            </w:tcMar>
            <w:vAlign w:val="center"/>
            <w:hideMark/>
          </w:tcPr>
          <w:p w14:paraId="00CAF6D2"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2,590</w:t>
            </w:r>
          </w:p>
        </w:tc>
        <w:tc>
          <w:tcPr>
            <w:tcW w:w="737" w:type="pct"/>
            <w:tcMar>
              <w:top w:w="75" w:type="dxa"/>
              <w:left w:w="75" w:type="dxa"/>
              <w:bottom w:w="75" w:type="dxa"/>
              <w:right w:w="75" w:type="dxa"/>
            </w:tcMar>
            <w:vAlign w:val="center"/>
            <w:hideMark/>
          </w:tcPr>
          <w:p w14:paraId="056B8C8B"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400</w:t>
            </w:r>
          </w:p>
        </w:tc>
        <w:tc>
          <w:tcPr>
            <w:tcW w:w="891" w:type="pct"/>
            <w:tcMar>
              <w:top w:w="75" w:type="dxa"/>
              <w:left w:w="75" w:type="dxa"/>
              <w:bottom w:w="75" w:type="dxa"/>
              <w:right w:w="75" w:type="dxa"/>
            </w:tcMar>
            <w:vAlign w:val="center"/>
            <w:hideMark/>
          </w:tcPr>
          <w:p w14:paraId="09FB5118"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15.4%</w:t>
            </w:r>
          </w:p>
        </w:tc>
        <w:tc>
          <w:tcPr>
            <w:tcW w:w="996" w:type="pct"/>
            <w:tcMar>
              <w:top w:w="75" w:type="dxa"/>
              <w:left w:w="75" w:type="dxa"/>
              <w:bottom w:w="75" w:type="dxa"/>
              <w:right w:w="75" w:type="dxa"/>
            </w:tcMar>
            <w:vAlign w:val="center"/>
            <w:hideMark/>
          </w:tcPr>
          <w:p w14:paraId="0962C538"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Eurostat</w:t>
            </w:r>
          </w:p>
        </w:tc>
      </w:tr>
      <w:tr w:rsidR="007751E2" w:rsidRPr="00647989" w14:paraId="15483C99" w14:textId="77777777" w:rsidTr="007751E2">
        <w:tc>
          <w:tcPr>
            <w:tcW w:w="1021" w:type="pct"/>
            <w:tcMar>
              <w:top w:w="75" w:type="dxa"/>
              <w:left w:w="75" w:type="dxa"/>
              <w:bottom w:w="75" w:type="dxa"/>
              <w:right w:w="75" w:type="dxa"/>
            </w:tcMar>
            <w:vAlign w:val="center"/>
            <w:hideMark/>
          </w:tcPr>
          <w:p w14:paraId="59A109F5"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Ireland</w:t>
            </w:r>
          </w:p>
        </w:tc>
        <w:tc>
          <w:tcPr>
            <w:tcW w:w="619" w:type="pct"/>
            <w:tcMar>
              <w:top w:w="75" w:type="dxa"/>
              <w:left w:w="75" w:type="dxa"/>
              <w:bottom w:w="75" w:type="dxa"/>
              <w:right w:w="75" w:type="dxa"/>
            </w:tcMar>
            <w:vAlign w:val="center"/>
            <w:hideMark/>
          </w:tcPr>
          <w:p w14:paraId="1207D3C0"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2010</w:t>
            </w:r>
          </w:p>
        </w:tc>
        <w:tc>
          <w:tcPr>
            <w:tcW w:w="737" w:type="pct"/>
            <w:tcMar>
              <w:top w:w="75" w:type="dxa"/>
              <w:left w:w="75" w:type="dxa"/>
              <w:bottom w:w="75" w:type="dxa"/>
              <w:right w:w="75" w:type="dxa"/>
            </w:tcMar>
            <w:vAlign w:val="center"/>
            <w:hideMark/>
          </w:tcPr>
          <w:p w14:paraId="515314C3"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139,890</w:t>
            </w:r>
          </w:p>
        </w:tc>
        <w:tc>
          <w:tcPr>
            <w:tcW w:w="737" w:type="pct"/>
            <w:tcMar>
              <w:top w:w="75" w:type="dxa"/>
              <w:left w:w="75" w:type="dxa"/>
              <w:bottom w:w="75" w:type="dxa"/>
              <w:right w:w="75" w:type="dxa"/>
            </w:tcMar>
            <w:vAlign w:val="center"/>
            <w:hideMark/>
          </w:tcPr>
          <w:p w14:paraId="7B505687"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16,120</w:t>
            </w:r>
          </w:p>
        </w:tc>
        <w:tc>
          <w:tcPr>
            <w:tcW w:w="891" w:type="pct"/>
            <w:tcMar>
              <w:top w:w="75" w:type="dxa"/>
              <w:left w:w="75" w:type="dxa"/>
              <w:bottom w:w="75" w:type="dxa"/>
              <w:right w:w="75" w:type="dxa"/>
            </w:tcMar>
            <w:vAlign w:val="center"/>
            <w:hideMark/>
          </w:tcPr>
          <w:p w14:paraId="54146324"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11.5%</w:t>
            </w:r>
          </w:p>
        </w:tc>
        <w:tc>
          <w:tcPr>
            <w:tcW w:w="996" w:type="pct"/>
            <w:tcMar>
              <w:top w:w="75" w:type="dxa"/>
              <w:left w:w="75" w:type="dxa"/>
              <w:bottom w:w="75" w:type="dxa"/>
              <w:right w:w="75" w:type="dxa"/>
            </w:tcMar>
            <w:vAlign w:val="center"/>
            <w:hideMark/>
          </w:tcPr>
          <w:p w14:paraId="2D2C3DB6"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Eurostat</w:t>
            </w:r>
          </w:p>
        </w:tc>
      </w:tr>
      <w:tr w:rsidR="007751E2" w:rsidRPr="00647989" w14:paraId="3DC75031" w14:textId="77777777" w:rsidTr="007751E2">
        <w:tc>
          <w:tcPr>
            <w:tcW w:w="1021" w:type="pct"/>
            <w:tcMar>
              <w:top w:w="75" w:type="dxa"/>
              <w:left w:w="75" w:type="dxa"/>
              <w:bottom w:w="75" w:type="dxa"/>
              <w:right w:w="75" w:type="dxa"/>
            </w:tcMar>
            <w:vAlign w:val="center"/>
            <w:hideMark/>
          </w:tcPr>
          <w:p w14:paraId="0F496605"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Italy</w:t>
            </w:r>
          </w:p>
        </w:tc>
        <w:tc>
          <w:tcPr>
            <w:tcW w:w="619" w:type="pct"/>
            <w:tcMar>
              <w:top w:w="75" w:type="dxa"/>
              <w:left w:w="75" w:type="dxa"/>
              <w:bottom w:w="75" w:type="dxa"/>
              <w:right w:w="75" w:type="dxa"/>
            </w:tcMar>
            <w:vAlign w:val="center"/>
            <w:hideMark/>
          </w:tcPr>
          <w:p w14:paraId="0DDB7648"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2010</w:t>
            </w:r>
          </w:p>
        </w:tc>
        <w:tc>
          <w:tcPr>
            <w:tcW w:w="737" w:type="pct"/>
            <w:tcMar>
              <w:top w:w="75" w:type="dxa"/>
              <w:left w:w="75" w:type="dxa"/>
              <w:bottom w:w="75" w:type="dxa"/>
              <w:right w:w="75" w:type="dxa"/>
            </w:tcMar>
            <w:vAlign w:val="center"/>
            <w:hideMark/>
          </w:tcPr>
          <w:p w14:paraId="37555EEE"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1,620,880</w:t>
            </w:r>
          </w:p>
        </w:tc>
        <w:tc>
          <w:tcPr>
            <w:tcW w:w="737" w:type="pct"/>
            <w:tcMar>
              <w:top w:w="75" w:type="dxa"/>
              <w:left w:w="75" w:type="dxa"/>
              <w:bottom w:w="75" w:type="dxa"/>
              <w:right w:w="75" w:type="dxa"/>
            </w:tcMar>
            <w:vAlign w:val="center"/>
            <w:hideMark/>
          </w:tcPr>
          <w:p w14:paraId="6127A1D5"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497,850</w:t>
            </w:r>
          </w:p>
        </w:tc>
        <w:tc>
          <w:tcPr>
            <w:tcW w:w="891" w:type="pct"/>
            <w:tcMar>
              <w:top w:w="75" w:type="dxa"/>
              <w:left w:w="75" w:type="dxa"/>
              <w:bottom w:w="75" w:type="dxa"/>
              <w:right w:w="75" w:type="dxa"/>
            </w:tcMar>
            <w:vAlign w:val="center"/>
            <w:hideMark/>
          </w:tcPr>
          <w:p w14:paraId="48784C42"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30.7%</w:t>
            </w:r>
          </w:p>
        </w:tc>
        <w:tc>
          <w:tcPr>
            <w:tcW w:w="996" w:type="pct"/>
            <w:tcMar>
              <w:top w:w="75" w:type="dxa"/>
              <w:left w:w="75" w:type="dxa"/>
              <w:bottom w:w="75" w:type="dxa"/>
              <w:right w:w="75" w:type="dxa"/>
            </w:tcMar>
            <w:vAlign w:val="center"/>
            <w:hideMark/>
          </w:tcPr>
          <w:p w14:paraId="4A125EB0"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Eurostat</w:t>
            </w:r>
          </w:p>
        </w:tc>
      </w:tr>
      <w:tr w:rsidR="007751E2" w:rsidRPr="00647989" w14:paraId="379CF1BA" w14:textId="77777777" w:rsidTr="007751E2">
        <w:tc>
          <w:tcPr>
            <w:tcW w:w="1021" w:type="pct"/>
            <w:tcMar>
              <w:top w:w="75" w:type="dxa"/>
              <w:left w:w="75" w:type="dxa"/>
              <w:bottom w:w="75" w:type="dxa"/>
              <w:right w:w="75" w:type="dxa"/>
            </w:tcMar>
            <w:vAlign w:val="center"/>
            <w:hideMark/>
          </w:tcPr>
          <w:p w14:paraId="225C41DE"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Latvia</w:t>
            </w:r>
          </w:p>
        </w:tc>
        <w:tc>
          <w:tcPr>
            <w:tcW w:w="619" w:type="pct"/>
            <w:tcMar>
              <w:top w:w="75" w:type="dxa"/>
              <w:left w:w="75" w:type="dxa"/>
              <w:bottom w:w="75" w:type="dxa"/>
              <w:right w:w="75" w:type="dxa"/>
            </w:tcMar>
            <w:vAlign w:val="center"/>
            <w:hideMark/>
          </w:tcPr>
          <w:p w14:paraId="4857A1DD"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2010</w:t>
            </w:r>
          </w:p>
        </w:tc>
        <w:tc>
          <w:tcPr>
            <w:tcW w:w="737" w:type="pct"/>
            <w:tcMar>
              <w:top w:w="75" w:type="dxa"/>
              <w:left w:w="75" w:type="dxa"/>
              <w:bottom w:w="75" w:type="dxa"/>
              <w:right w:w="75" w:type="dxa"/>
            </w:tcMar>
            <w:vAlign w:val="center"/>
            <w:hideMark/>
          </w:tcPr>
          <w:p w14:paraId="64E9684F"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83,390</w:t>
            </w:r>
          </w:p>
        </w:tc>
        <w:tc>
          <w:tcPr>
            <w:tcW w:w="737" w:type="pct"/>
            <w:tcMar>
              <w:top w:w="75" w:type="dxa"/>
              <w:left w:w="75" w:type="dxa"/>
              <w:bottom w:w="75" w:type="dxa"/>
              <w:right w:w="75" w:type="dxa"/>
            </w:tcMar>
            <w:vAlign w:val="center"/>
            <w:hideMark/>
          </w:tcPr>
          <w:p w14:paraId="69539469"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39,010</w:t>
            </w:r>
          </w:p>
        </w:tc>
        <w:tc>
          <w:tcPr>
            <w:tcW w:w="891" w:type="pct"/>
            <w:tcMar>
              <w:top w:w="75" w:type="dxa"/>
              <w:left w:w="75" w:type="dxa"/>
              <w:bottom w:w="75" w:type="dxa"/>
              <w:right w:w="75" w:type="dxa"/>
            </w:tcMar>
            <w:vAlign w:val="center"/>
            <w:hideMark/>
          </w:tcPr>
          <w:p w14:paraId="467167B2"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46.8%</w:t>
            </w:r>
          </w:p>
        </w:tc>
        <w:tc>
          <w:tcPr>
            <w:tcW w:w="996" w:type="pct"/>
            <w:tcMar>
              <w:top w:w="75" w:type="dxa"/>
              <w:left w:w="75" w:type="dxa"/>
              <w:bottom w:w="75" w:type="dxa"/>
              <w:right w:w="75" w:type="dxa"/>
            </w:tcMar>
            <w:vAlign w:val="center"/>
            <w:hideMark/>
          </w:tcPr>
          <w:p w14:paraId="07A3F28E"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Eurostat</w:t>
            </w:r>
          </w:p>
        </w:tc>
      </w:tr>
      <w:tr w:rsidR="007751E2" w:rsidRPr="00647989" w14:paraId="79D80FB8" w14:textId="77777777" w:rsidTr="007751E2">
        <w:tc>
          <w:tcPr>
            <w:tcW w:w="1021" w:type="pct"/>
            <w:tcMar>
              <w:top w:w="75" w:type="dxa"/>
              <w:left w:w="75" w:type="dxa"/>
              <w:bottom w:w="75" w:type="dxa"/>
              <w:right w:w="75" w:type="dxa"/>
            </w:tcMar>
            <w:vAlign w:val="center"/>
            <w:hideMark/>
          </w:tcPr>
          <w:p w14:paraId="1AF232A1"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Lithuania</w:t>
            </w:r>
          </w:p>
        </w:tc>
        <w:tc>
          <w:tcPr>
            <w:tcW w:w="619" w:type="pct"/>
            <w:tcMar>
              <w:top w:w="75" w:type="dxa"/>
              <w:left w:w="75" w:type="dxa"/>
              <w:bottom w:w="75" w:type="dxa"/>
              <w:right w:w="75" w:type="dxa"/>
            </w:tcMar>
            <w:vAlign w:val="center"/>
            <w:hideMark/>
          </w:tcPr>
          <w:p w14:paraId="588D1DF5"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2010</w:t>
            </w:r>
          </w:p>
        </w:tc>
        <w:tc>
          <w:tcPr>
            <w:tcW w:w="737" w:type="pct"/>
            <w:tcMar>
              <w:top w:w="75" w:type="dxa"/>
              <w:left w:w="75" w:type="dxa"/>
              <w:bottom w:w="75" w:type="dxa"/>
              <w:right w:w="75" w:type="dxa"/>
            </w:tcMar>
            <w:vAlign w:val="center"/>
            <w:hideMark/>
          </w:tcPr>
          <w:p w14:paraId="38C3272E"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199,910</w:t>
            </w:r>
          </w:p>
        </w:tc>
        <w:tc>
          <w:tcPr>
            <w:tcW w:w="737" w:type="pct"/>
            <w:tcMar>
              <w:top w:w="75" w:type="dxa"/>
              <w:left w:w="75" w:type="dxa"/>
              <w:bottom w:w="75" w:type="dxa"/>
              <w:right w:w="75" w:type="dxa"/>
            </w:tcMar>
            <w:vAlign w:val="center"/>
            <w:hideMark/>
          </w:tcPr>
          <w:p w14:paraId="31C2EE1F"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95,360</w:t>
            </w:r>
          </w:p>
        </w:tc>
        <w:tc>
          <w:tcPr>
            <w:tcW w:w="891" w:type="pct"/>
            <w:tcMar>
              <w:top w:w="75" w:type="dxa"/>
              <w:left w:w="75" w:type="dxa"/>
              <w:bottom w:w="75" w:type="dxa"/>
              <w:right w:w="75" w:type="dxa"/>
            </w:tcMar>
            <w:vAlign w:val="center"/>
            <w:hideMark/>
          </w:tcPr>
          <w:p w14:paraId="1E35F002"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47.7%</w:t>
            </w:r>
          </w:p>
        </w:tc>
        <w:tc>
          <w:tcPr>
            <w:tcW w:w="996" w:type="pct"/>
            <w:tcMar>
              <w:top w:w="75" w:type="dxa"/>
              <w:left w:w="75" w:type="dxa"/>
              <w:bottom w:w="75" w:type="dxa"/>
              <w:right w:w="75" w:type="dxa"/>
            </w:tcMar>
            <w:vAlign w:val="center"/>
            <w:hideMark/>
          </w:tcPr>
          <w:p w14:paraId="164540EA"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Eurostat</w:t>
            </w:r>
          </w:p>
        </w:tc>
      </w:tr>
      <w:tr w:rsidR="007751E2" w:rsidRPr="00647989" w14:paraId="7A67CD31" w14:textId="77777777" w:rsidTr="007751E2">
        <w:tc>
          <w:tcPr>
            <w:tcW w:w="1021" w:type="pct"/>
            <w:tcMar>
              <w:top w:w="75" w:type="dxa"/>
              <w:left w:w="75" w:type="dxa"/>
              <w:bottom w:w="75" w:type="dxa"/>
              <w:right w:w="75" w:type="dxa"/>
            </w:tcMar>
            <w:vAlign w:val="center"/>
            <w:hideMark/>
          </w:tcPr>
          <w:p w14:paraId="70E00751"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Luxembourg</w:t>
            </w:r>
          </w:p>
        </w:tc>
        <w:tc>
          <w:tcPr>
            <w:tcW w:w="619" w:type="pct"/>
            <w:tcMar>
              <w:top w:w="75" w:type="dxa"/>
              <w:left w:w="75" w:type="dxa"/>
              <w:bottom w:w="75" w:type="dxa"/>
              <w:right w:w="75" w:type="dxa"/>
            </w:tcMar>
            <w:vAlign w:val="center"/>
            <w:hideMark/>
          </w:tcPr>
          <w:p w14:paraId="5D85A9D5"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2010</w:t>
            </w:r>
          </w:p>
        </w:tc>
        <w:tc>
          <w:tcPr>
            <w:tcW w:w="737" w:type="pct"/>
            <w:tcMar>
              <w:top w:w="75" w:type="dxa"/>
              <w:left w:w="75" w:type="dxa"/>
              <w:bottom w:w="75" w:type="dxa"/>
              <w:right w:w="75" w:type="dxa"/>
            </w:tcMar>
            <w:vAlign w:val="center"/>
            <w:hideMark/>
          </w:tcPr>
          <w:p w14:paraId="6BD13082"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2,200</w:t>
            </w:r>
          </w:p>
        </w:tc>
        <w:tc>
          <w:tcPr>
            <w:tcW w:w="737" w:type="pct"/>
            <w:tcMar>
              <w:top w:w="75" w:type="dxa"/>
              <w:left w:w="75" w:type="dxa"/>
              <w:bottom w:w="75" w:type="dxa"/>
              <w:right w:w="75" w:type="dxa"/>
            </w:tcMar>
            <w:vAlign w:val="center"/>
            <w:hideMark/>
          </w:tcPr>
          <w:p w14:paraId="533EED27"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350</w:t>
            </w:r>
          </w:p>
        </w:tc>
        <w:tc>
          <w:tcPr>
            <w:tcW w:w="891" w:type="pct"/>
            <w:tcMar>
              <w:top w:w="75" w:type="dxa"/>
              <w:left w:w="75" w:type="dxa"/>
              <w:bottom w:w="75" w:type="dxa"/>
              <w:right w:w="75" w:type="dxa"/>
            </w:tcMar>
            <w:vAlign w:val="center"/>
            <w:hideMark/>
          </w:tcPr>
          <w:p w14:paraId="301CC9CF"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15.9%</w:t>
            </w:r>
          </w:p>
        </w:tc>
        <w:tc>
          <w:tcPr>
            <w:tcW w:w="996" w:type="pct"/>
            <w:tcMar>
              <w:top w:w="75" w:type="dxa"/>
              <w:left w:w="75" w:type="dxa"/>
              <w:bottom w:w="75" w:type="dxa"/>
              <w:right w:w="75" w:type="dxa"/>
            </w:tcMar>
            <w:vAlign w:val="center"/>
            <w:hideMark/>
          </w:tcPr>
          <w:p w14:paraId="5B76DF77"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Eurostat</w:t>
            </w:r>
          </w:p>
        </w:tc>
      </w:tr>
      <w:tr w:rsidR="007751E2" w:rsidRPr="00647989" w14:paraId="7A30B469" w14:textId="77777777" w:rsidTr="007751E2">
        <w:tc>
          <w:tcPr>
            <w:tcW w:w="1021" w:type="pct"/>
            <w:tcMar>
              <w:top w:w="75" w:type="dxa"/>
              <w:left w:w="75" w:type="dxa"/>
              <w:bottom w:w="75" w:type="dxa"/>
              <w:right w:w="75" w:type="dxa"/>
            </w:tcMar>
            <w:vAlign w:val="center"/>
            <w:hideMark/>
          </w:tcPr>
          <w:p w14:paraId="7B37BF64"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Malta</w:t>
            </w:r>
          </w:p>
        </w:tc>
        <w:tc>
          <w:tcPr>
            <w:tcW w:w="619" w:type="pct"/>
            <w:tcMar>
              <w:top w:w="75" w:type="dxa"/>
              <w:left w:w="75" w:type="dxa"/>
              <w:bottom w:w="75" w:type="dxa"/>
              <w:right w:w="75" w:type="dxa"/>
            </w:tcMar>
            <w:vAlign w:val="center"/>
            <w:hideMark/>
          </w:tcPr>
          <w:p w14:paraId="24B6636E"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2010</w:t>
            </w:r>
          </w:p>
        </w:tc>
        <w:tc>
          <w:tcPr>
            <w:tcW w:w="737" w:type="pct"/>
            <w:tcMar>
              <w:top w:w="75" w:type="dxa"/>
              <w:left w:w="75" w:type="dxa"/>
              <w:bottom w:w="75" w:type="dxa"/>
              <w:right w:w="75" w:type="dxa"/>
            </w:tcMar>
            <w:vAlign w:val="center"/>
            <w:hideMark/>
          </w:tcPr>
          <w:p w14:paraId="04112F6F"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12,530</w:t>
            </w:r>
          </w:p>
        </w:tc>
        <w:tc>
          <w:tcPr>
            <w:tcW w:w="737" w:type="pct"/>
            <w:tcMar>
              <w:top w:w="75" w:type="dxa"/>
              <w:left w:w="75" w:type="dxa"/>
              <w:bottom w:w="75" w:type="dxa"/>
              <w:right w:w="75" w:type="dxa"/>
            </w:tcMar>
            <w:vAlign w:val="center"/>
            <w:hideMark/>
          </w:tcPr>
          <w:p w14:paraId="225558D8"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1,390</w:t>
            </w:r>
          </w:p>
        </w:tc>
        <w:tc>
          <w:tcPr>
            <w:tcW w:w="891" w:type="pct"/>
            <w:tcMar>
              <w:top w:w="75" w:type="dxa"/>
              <w:left w:w="75" w:type="dxa"/>
              <w:bottom w:w="75" w:type="dxa"/>
              <w:right w:w="75" w:type="dxa"/>
            </w:tcMar>
            <w:vAlign w:val="center"/>
            <w:hideMark/>
          </w:tcPr>
          <w:p w14:paraId="3F3E0DB1"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11.1%</w:t>
            </w:r>
          </w:p>
        </w:tc>
        <w:tc>
          <w:tcPr>
            <w:tcW w:w="996" w:type="pct"/>
            <w:tcMar>
              <w:top w:w="75" w:type="dxa"/>
              <w:left w:w="75" w:type="dxa"/>
              <w:bottom w:w="75" w:type="dxa"/>
              <w:right w:w="75" w:type="dxa"/>
            </w:tcMar>
            <w:vAlign w:val="center"/>
            <w:hideMark/>
          </w:tcPr>
          <w:p w14:paraId="4AA0141F"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Eurostat</w:t>
            </w:r>
          </w:p>
        </w:tc>
      </w:tr>
      <w:tr w:rsidR="007751E2" w:rsidRPr="00647989" w14:paraId="3BF1556D" w14:textId="77777777" w:rsidTr="007751E2">
        <w:tc>
          <w:tcPr>
            <w:tcW w:w="1021" w:type="pct"/>
            <w:tcMar>
              <w:top w:w="75" w:type="dxa"/>
              <w:left w:w="75" w:type="dxa"/>
              <w:bottom w:w="75" w:type="dxa"/>
              <w:right w:w="75" w:type="dxa"/>
            </w:tcMar>
            <w:vAlign w:val="center"/>
            <w:hideMark/>
          </w:tcPr>
          <w:p w14:paraId="39862777"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Montenegro</w:t>
            </w:r>
          </w:p>
        </w:tc>
        <w:tc>
          <w:tcPr>
            <w:tcW w:w="619" w:type="pct"/>
            <w:tcMar>
              <w:top w:w="75" w:type="dxa"/>
              <w:left w:w="75" w:type="dxa"/>
              <w:bottom w:w="75" w:type="dxa"/>
              <w:right w:w="75" w:type="dxa"/>
            </w:tcMar>
            <w:vAlign w:val="center"/>
            <w:hideMark/>
          </w:tcPr>
          <w:p w14:paraId="6AA4DBDE"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2010</w:t>
            </w:r>
          </w:p>
        </w:tc>
        <w:tc>
          <w:tcPr>
            <w:tcW w:w="737" w:type="pct"/>
            <w:tcMar>
              <w:top w:w="75" w:type="dxa"/>
              <w:left w:w="75" w:type="dxa"/>
              <w:bottom w:w="75" w:type="dxa"/>
              <w:right w:w="75" w:type="dxa"/>
            </w:tcMar>
            <w:vAlign w:val="center"/>
            <w:hideMark/>
          </w:tcPr>
          <w:p w14:paraId="5193B31B"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48,870</w:t>
            </w:r>
          </w:p>
        </w:tc>
        <w:tc>
          <w:tcPr>
            <w:tcW w:w="737" w:type="pct"/>
            <w:tcMar>
              <w:top w:w="75" w:type="dxa"/>
              <w:left w:w="75" w:type="dxa"/>
              <w:bottom w:w="75" w:type="dxa"/>
              <w:right w:w="75" w:type="dxa"/>
            </w:tcMar>
            <w:vAlign w:val="center"/>
            <w:hideMark/>
          </w:tcPr>
          <w:p w14:paraId="2A4AFC62"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6,290</w:t>
            </w:r>
          </w:p>
        </w:tc>
        <w:tc>
          <w:tcPr>
            <w:tcW w:w="891" w:type="pct"/>
            <w:tcMar>
              <w:top w:w="75" w:type="dxa"/>
              <w:left w:w="75" w:type="dxa"/>
              <w:bottom w:w="75" w:type="dxa"/>
              <w:right w:w="75" w:type="dxa"/>
            </w:tcMar>
            <w:vAlign w:val="center"/>
            <w:hideMark/>
          </w:tcPr>
          <w:p w14:paraId="19C112D2" w14:textId="77777777" w:rsidR="007751E2" w:rsidRPr="00647989" w:rsidRDefault="007751E2" w:rsidP="005D1CAC">
            <w:pPr>
              <w:spacing w:before="15"/>
              <w:ind w:right="15"/>
              <w:jc w:val="center"/>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12.9%</w:t>
            </w:r>
          </w:p>
        </w:tc>
        <w:tc>
          <w:tcPr>
            <w:tcW w:w="996" w:type="pct"/>
            <w:tcMar>
              <w:top w:w="75" w:type="dxa"/>
              <w:left w:w="75" w:type="dxa"/>
              <w:bottom w:w="75" w:type="dxa"/>
              <w:right w:w="75" w:type="dxa"/>
            </w:tcMar>
            <w:vAlign w:val="center"/>
            <w:hideMark/>
          </w:tcPr>
          <w:p w14:paraId="1EFBC640" w14:textId="77777777" w:rsidR="007751E2" w:rsidRPr="00647989" w:rsidRDefault="007751E2" w:rsidP="005D1CAC">
            <w:pPr>
              <w:spacing w:before="15"/>
              <w:ind w:right="15"/>
              <w:rPr>
                <w:rFonts w:ascii="Open Sans" w:eastAsia="Times New Roman" w:hAnsi="Open Sans" w:cs="Times New Roman"/>
                <w:color w:val="003B43"/>
                <w:sz w:val="19"/>
                <w:szCs w:val="19"/>
              </w:rPr>
            </w:pPr>
            <w:r w:rsidRPr="00647989">
              <w:rPr>
                <w:rFonts w:ascii="Open Sans" w:eastAsia="Times New Roman" w:hAnsi="Open Sans" w:cs="Times New Roman"/>
                <w:color w:val="003B43"/>
                <w:sz w:val="19"/>
                <w:szCs w:val="19"/>
              </w:rPr>
              <w:t>Eurostat</w:t>
            </w:r>
          </w:p>
        </w:tc>
      </w:tr>
      <w:tr w:rsidR="007751E2" w:rsidRPr="00937B6F" w14:paraId="2C010028" w14:textId="77777777" w:rsidTr="007751E2">
        <w:tc>
          <w:tcPr>
            <w:tcW w:w="1021" w:type="pct"/>
            <w:tcMar>
              <w:top w:w="75" w:type="dxa"/>
              <w:left w:w="75" w:type="dxa"/>
              <w:bottom w:w="75" w:type="dxa"/>
              <w:right w:w="75" w:type="dxa"/>
            </w:tcMar>
            <w:vAlign w:val="center"/>
            <w:hideMark/>
          </w:tcPr>
          <w:p w14:paraId="3466F7B6"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Netherlands</w:t>
            </w:r>
          </w:p>
        </w:tc>
        <w:tc>
          <w:tcPr>
            <w:tcW w:w="619" w:type="pct"/>
            <w:tcMar>
              <w:top w:w="75" w:type="dxa"/>
              <w:left w:w="75" w:type="dxa"/>
              <w:bottom w:w="75" w:type="dxa"/>
              <w:right w:w="75" w:type="dxa"/>
            </w:tcMar>
            <w:vAlign w:val="center"/>
            <w:hideMark/>
          </w:tcPr>
          <w:p w14:paraId="6D39D509"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2010</w:t>
            </w:r>
          </w:p>
        </w:tc>
        <w:tc>
          <w:tcPr>
            <w:tcW w:w="737" w:type="pct"/>
            <w:tcMar>
              <w:top w:w="75" w:type="dxa"/>
              <w:left w:w="75" w:type="dxa"/>
              <w:bottom w:w="75" w:type="dxa"/>
              <w:right w:w="75" w:type="dxa"/>
            </w:tcMar>
            <w:vAlign w:val="center"/>
            <w:hideMark/>
          </w:tcPr>
          <w:p w14:paraId="5EAEA4E4"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72,320</w:t>
            </w:r>
          </w:p>
        </w:tc>
        <w:tc>
          <w:tcPr>
            <w:tcW w:w="737" w:type="pct"/>
            <w:tcMar>
              <w:top w:w="75" w:type="dxa"/>
              <w:left w:w="75" w:type="dxa"/>
              <w:bottom w:w="75" w:type="dxa"/>
              <w:right w:w="75" w:type="dxa"/>
            </w:tcMar>
            <w:vAlign w:val="center"/>
            <w:hideMark/>
          </w:tcPr>
          <w:p w14:paraId="6CF8AAF2"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4,420</w:t>
            </w:r>
          </w:p>
        </w:tc>
        <w:tc>
          <w:tcPr>
            <w:tcW w:w="891" w:type="pct"/>
            <w:tcMar>
              <w:top w:w="75" w:type="dxa"/>
              <w:left w:w="75" w:type="dxa"/>
              <w:bottom w:w="75" w:type="dxa"/>
              <w:right w:w="75" w:type="dxa"/>
            </w:tcMar>
            <w:vAlign w:val="center"/>
            <w:hideMark/>
          </w:tcPr>
          <w:p w14:paraId="1AC30A3D"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6.1%</w:t>
            </w:r>
          </w:p>
        </w:tc>
        <w:tc>
          <w:tcPr>
            <w:tcW w:w="996" w:type="pct"/>
            <w:tcMar>
              <w:top w:w="75" w:type="dxa"/>
              <w:left w:w="75" w:type="dxa"/>
              <w:bottom w:w="75" w:type="dxa"/>
              <w:right w:w="75" w:type="dxa"/>
            </w:tcMar>
            <w:vAlign w:val="center"/>
            <w:hideMark/>
          </w:tcPr>
          <w:p w14:paraId="476C979B"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Eurostat</w:t>
            </w:r>
          </w:p>
        </w:tc>
      </w:tr>
      <w:tr w:rsidR="007751E2" w:rsidRPr="00937B6F" w14:paraId="77B6DB10" w14:textId="77777777" w:rsidTr="007751E2">
        <w:tc>
          <w:tcPr>
            <w:tcW w:w="1021" w:type="pct"/>
            <w:tcMar>
              <w:top w:w="75" w:type="dxa"/>
              <w:left w:w="75" w:type="dxa"/>
              <w:bottom w:w="75" w:type="dxa"/>
              <w:right w:w="75" w:type="dxa"/>
            </w:tcMar>
            <w:vAlign w:val="center"/>
            <w:hideMark/>
          </w:tcPr>
          <w:p w14:paraId="3D6FD91F"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Norway</w:t>
            </w:r>
          </w:p>
        </w:tc>
        <w:tc>
          <w:tcPr>
            <w:tcW w:w="619" w:type="pct"/>
            <w:tcMar>
              <w:top w:w="75" w:type="dxa"/>
              <w:left w:w="75" w:type="dxa"/>
              <w:bottom w:w="75" w:type="dxa"/>
              <w:right w:w="75" w:type="dxa"/>
            </w:tcMar>
            <w:vAlign w:val="center"/>
            <w:hideMark/>
          </w:tcPr>
          <w:p w14:paraId="06E944E5"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2010</w:t>
            </w:r>
          </w:p>
        </w:tc>
        <w:tc>
          <w:tcPr>
            <w:tcW w:w="737" w:type="pct"/>
            <w:tcMar>
              <w:top w:w="75" w:type="dxa"/>
              <w:left w:w="75" w:type="dxa"/>
              <w:bottom w:w="75" w:type="dxa"/>
              <w:right w:w="75" w:type="dxa"/>
            </w:tcMar>
            <w:vAlign w:val="center"/>
            <w:hideMark/>
          </w:tcPr>
          <w:p w14:paraId="3E04B55F"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46,620</w:t>
            </w:r>
          </w:p>
        </w:tc>
        <w:tc>
          <w:tcPr>
            <w:tcW w:w="737" w:type="pct"/>
            <w:tcMar>
              <w:top w:w="75" w:type="dxa"/>
              <w:left w:w="75" w:type="dxa"/>
              <w:bottom w:w="75" w:type="dxa"/>
              <w:right w:w="75" w:type="dxa"/>
            </w:tcMar>
            <w:vAlign w:val="center"/>
            <w:hideMark/>
          </w:tcPr>
          <w:p w14:paraId="55AECF7B"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6,560</w:t>
            </w:r>
          </w:p>
        </w:tc>
        <w:tc>
          <w:tcPr>
            <w:tcW w:w="891" w:type="pct"/>
            <w:tcMar>
              <w:top w:w="75" w:type="dxa"/>
              <w:left w:w="75" w:type="dxa"/>
              <w:bottom w:w="75" w:type="dxa"/>
              <w:right w:w="75" w:type="dxa"/>
            </w:tcMar>
            <w:vAlign w:val="center"/>
            <w:hideMark/>
          </w:tcPr>
          <w:p w14:paraId="2E5A96F3"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14.1%</w:t>
            </w:r>
          </w:p>
        </w:tc>
        <w:tc>
          <w:tcPr>
            <w:tcW w:w="996" w:type="pct"/>
            <w:tcMar>
              <w:top w:w="75" w:type="dxa"/>
              <w:left w:w="75" w:type="dxa"/>
              <w:bottom w:w="75" w:type="dxa"/>
              <w:right w:w="75" w:type="dxa"/>
            </w:tcMar>
            <w:vAlign w:val="center"/>
            <w:hideMark/>
          </w:tcPr>
          <w:p w14:paraId="645DA604"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Eurostat</w:t>
            </w:r>
          </w:p>
        </w:tc>
      </w:tr>
      <w:tr w:rsidR="007751E2" w:rsidRPr="00937B6F" w14:paraId="27F110EC" w14:textId="77777777" w:rsidTr="007751E2">
        <w:tc>
          <w:tcPr>
            <w:tcW w:w="1021" w:type="pct"/>
            <w:tcMar>
              <w:top w:w="75" w:type="dxa"/>
              <w:left w:w="75" w:type="dxa"/>
              <w:bottom w:w="75" w:type="dxa"/>
              <w:right w:w="75" w:type="dxa"/>
            </w:tcMar>
            <w:vAlign w:val="center"/>
            <w:hideMark/>
          </w:tcPr>
          <w:p w14:paraId="3CFEFF6E"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Poland</w:t>
            </w:r>
          </w:p>
        </w:tc>
        <w:tc>
          <w:tcPr>
            <w:tcW w:w="619" w:type="pct"/>
            <w:tcMar>
              <w:top w:w="75" w:type="dxa"/>
              <w:left w:w="75" w:type="dxa"/>
              <w:bottom w:w="75" w:type="dxa"/>
              <w:right w:w="75" w:type="dxa"/>
            </w:tcMar>
            <w:vAlign w:val="center"/>
            <w:hideMark/>
          </w:tcPr>
          <w:p w14:paraId="1D99FA4D"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2010</w:t>
            </w:r>
          </w:p>
        </w:tc>
        <w:tc>
          <w:tcPr>
            <w:tcW w:w="737" w:type="pct"/>
            <w:tcMar>
              <w:top w:w="75" w:type="dxa"/>
              <w:left w:w="75" w:type="dxa"/>
              <w:bottom w:w="75" w:type="dxa"/>
              <w:right w:w="75" w:type="dxa"/>
            </w:tcMar>
            <w:vAlign w:val="center"/>
            <w:hideMark/>
          </w:tcPr>
          <w:p w14:paraId="37241F8F"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1,506,620</w:t>
            </w:r>
          </w:p>
        </w:tc>
        <w:tc>
          <w:tcPr>
            <w:tcW w:w="737" w:type="pct"/>
            <w:tcMar>
              <w:top w:w="75" w:type="dxa"/>
              <w:left w:w="75" w:type="dxa"/>
              <w:bottom w:w="75" w:type="dxa"/>
              <w:right w:w="75" w:type="dxa"/>
            </w:tcMar>
            <w:vAlign w:val="center"/>
            <w:hideMark/>
          </w:tcPr>
          <w:p w14:paraId="7FDB84A4"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448,120</w:t>
            </w:r>
          </w:p>
        </w:tc>
        <w:tc>
          <w:tcPr>
            <w:tcW w:w="891" w:type="pct"/>
            <w:tcMar>
              <w:top w:w="75" w:type="dxa"/>
              <w:left w:w="75" w:type="dxa"/>
              <w:bottom w:w="75" w:type="dxa"/>
              <w:right w:w="75" w:type="dxa"/>
            </w:tcMar>
            <w:vAlign w:val="center"/>
            <w:hideMark/>
          </w:tcPr>
          <w:p w14:paraId="237C83A9"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29.7%</w:t>
            </w:r>
          </w:p>
        </w:tc>
        <w:tc>
          <w:tcPr>
            <w:tcW w:w="996" w:type="pct"/>
            <w:tcMar>
              <w:top w:w="75" w:type="dxa"/>
              <w:left w:w="75" w:type="dxa"/>
              <w:bottom w:w="75" w:type="dxa"/>
              <w:right w:w="75" w:type="dxa"/>
            </w:tcMar>
            <w:vAlign w:val="center"/>
            <w:hideMark/>
          </w:tcPr>
          <w:p w14:paraId="7AD3BC70"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Eurostat</w:t>
            </w:r>
          </w:p>
        </w:tc>
      </w:tr>
      <w:tr w:rsidR="007751E2" w:rsidRPr="00937B6F" w14:paraId="6813F37E" w14:textId="77777777" w:rsidTr="007751E2">
        <w:tc>
          <w:tcPr>
            <w:tcW w:w="1021" w:type="pct"/>
            <w:tcMar>
              <w:top w:w="75" w:type="dxa"/>
              <w:left w:w="75" w:type="dxa"/>
              <w:bottom w:w="75" w:type="dxa"/>
              <w:right w:w="75" w:type="dxa"/>
            </w:tcMar>
            <w:vAlign w:val="center"/>
            <w:hideMark/>
          </w:tcPr>
          <w:p w14:paraId="6622E781"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Portugal</w:t>
            </w:r>
          </w:p>
        </w:tc>
        <w:tc>
          <w:tcPr>
            <w:tcW w:w="619" w:type="pct"/>
            <w:tcMar>
              <w:top w:w="75" w:type="dxa"/>
              <w:left w:w="75" w:type="dxa"/>
              <w:bottom w:w="75" w:type="dxa"/>
              <w:right w:w="75" w:type="dxa"/>
            </w:tcMar>
            <w:vAlign w:val="center"/>
            <w:hideMark/>
          </w:tcPr>
          <w:p w14:paraId="64181B6C"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2010</w:t>
            </w:r>
          </w:p>
        </w:tc>
        <w:tc>
          <w:tcPr>
            <w:tcW w:w="737" w:type="pct"/>
            <w:tcMar>
              <w:top w:w="75" w:type="dxa"/>
              <w:left w:w="75" w:type="dxa"/>
              <w:bottom w:w="75" w:type="dxa"/>
              <w:right w:w="75" w:type="dxa"/>
            </w:tcMar>
            <w:vAlign w:val="center"/>
            <w:hideMark/>
          </w:tcPr>
          <w:p w14:paraId="0BE0FD17"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305,270</w:t>
            </w:r>
          </w:p>
        </w:tc>
        <w:tc>
          <w:tcPr>
            <w:tcW w:w="737" w:type="pct"/>
            <w:tcMar>
              <w:top w:w="75" w:type="dxa"/>
              <w:left w:w="75" w:type="dxa"/>
              <w:bottom w:w="75" w:type="dxa"/>
              <w:right w:w="75" w:type="dxa"/>
            </w:tcMar>
            <w:vAlign w:val="center"/>
            <w:hideMark/>
          </w:tcPr>
          <w:p w14:paraId="515A22B0"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89,370</w:t>
            </w:r>
          </w:p>
        </w:tc>
        <w:tc>
          <w:tcPr>
            <w:tcW w:w="891" w:type="pct"/>
            <w:tcMar>
              <w:top w:w="75" w:type="dxa"/>
              <w:left w:w="75" w:type="dxa"/>
              <w:bottom w:w="75" w:type="dxa"/>
              <w:right w:w="75" w:type="dxa"/>
            </w:tcMar>
            <w:vAlign w:val="center"/>
            <w:hideMark/>
          </w:tcPr>
          <w:p w14:paraId="09F190C8"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29.3%</w:t>
            </w:r>
          </w:p>
        </w:tc>
        <w:tc>
          <w:tcPr>
            <w:tcW w:w="996" w:type="pct"/>
            <w:tcMar>
              <w:top w:w="75" w:type="dxa"/>
              <w:left w:w="75" w:type="dxa"/>
              <w:bottom w:w="75" w:type="dxa"/>
              <w:right w:w="75" w:type="dxa"/>
            </w:tcMar>
            <w:vAlign w:val="center"/>
            <w:hideMark/>
          </w:tcPr>
          <w:p w14:paraId="134C1024"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Eurostat</w:t>
            </w:r>
          </w:p>
        </w:tc>
      </w:tr>
      <w:tr w:rsidR="007751E2" w:rsidRPr="00937B6F" w14:paraId="62DF523B" w14:textId="77777777" w:rsidTr="007751E2">
        <w:tc>
          <w:tcPr>
            <w:tcW w:w="1021" w:type="pct"/>
            <w:tcMar>
              <w:top w:w="75" w:type="dxa"/>
              <w:left w:w="75" w:type="dxa"/>
              <w:bottom w:w="75" w:type="dxa"/>
              <w:right w:w="75" w:type="dxa"/>
            </w:tcMar>
            <w:vAlign w:val="center"/>
            <w:hideMark/>
          </w:tcPr>
          <w:p w14:paraId="60710E60"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Republic of Moldova</w:t>
            </w:r>
          </w:p>
        </w:tc>
        <w:tc>
          <w:tcPr>
            <w:tcW w:w="619" w:type="pct"/>
            <w:tcMar>
              <w:top w:w="75" w:type="dxa"/>
              <w:left w:w="75" w:type="dxa"/>
              <w:bottom w:w="75" w:type="dxa"/>
              <w:right w:w="75" w:type="dxa"/>
            </w:tcMar>
            <w:vAlign w:val="center"/>
            <w:hideMark/>
          </w:tcPr>
          <w:p w14:paraId="6C415E67"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2011</w:t>
            </w:r>
          </w:p>
        </w:tc>
        <w:tc>
          <w:tcPr>
            <w:tcW w:w="737" w:type="pct"/>
            <w:tcMar>
              <w:top w:w="75" w:type="dxa"/>
              <w:left w:w="75" w:type="dxa"/>
              <w:bottom w:w="75" w:type="dxa"/>
              <w:right w:w="75" w:type="dxa"/>
            </w:tcMar>
            <w:vAlign w:val="center"/>
            <w:hideMark/>
          </w:tcPr>
          <w:p w14:paraId="22CF73FB"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902,214</w:t>
            </w:r>
          </w:p>
        </w:tc>
        <w:tc>
          <w:tcPr>
            <w:tcW w:w="737" w:type="pct"/>
            <w:tcMar>
              <w:top w:w="75" w:type="dxa"/>
              <w:left w:w="75" w:type="dxa"/>
              <w:bottom w:w="75" w:type="dxa"/>
              <w:right w:w="75" w:type="dxa"/>
            </w:tcMar>
            <w:vAlign w:val="center"/>
            <w:hideMark/>
          </w:tcPr>
          <w:p w14:paraId="0BA120A7"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327,689</w:t>
            </w:r>
          </w:p>
        </w:tc>
        <w:tc>
          <w:tcPr>
            <w:tcW w:w="891" w:type="pct"/>
            <w:tcMar>
              <w:top w:w="75" w:type="dxa"/>
              <w:left w:w="75" w:type="dxa"/>
              <w:bottom w:w="75" w:type="dxa"/>
              <w:right w:w="75" w:type="dxa"/>
            </w:tcMar>
            <w:vAlign w:val="center"/>
            <w:hideMark/>
          </w:tcPr>
          <w:p w14:paraId="3F6E708C"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36.3%</w:t>
            </w:r>
          </w:p>
        </w:tc>
        <w:tc>
          <w:tcPr>
            <w:tcW w:w="996" w:type="pct"/>
            <w:tcMar>
              <w:top w:w="75" w:type="dxa"/>
              <w:left w:w="75" w:type="dxa"/>
              <w:bottom w:w="75" w:type="dxa"/>
              <w:right w:w="75" w:type="dxa"/>
            </w:tcMar>
            <w:vAlign w:val="center"/>
            <w:hideMark/>
          </w:tcPr>
          <w:p w14:paraId="0AE08873"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Agricultural Census</w:t>
            </w:r>
          </w:p>
        </w:tc>
      </w:tr>
      <w:tr w:rsidR="007751E2" w:rsidRPr="00937B6F" w14:paraId="469522E4" w14:textId="77777777" w:rsidTr="007751E2">
        <w:tc>
          <w:tcPr>
            <w:tcW w:w="1021" w:type="pct"/>
            <w:tcMar>
              <w:top w:w="75" w:type="dxa"/>
              <w:left w:w="75" w:type="dxa"/>
              <w:bottom w:w="75" w:type="dxa"/>
              <w:right w:w="75" w:type="dxa"/>
            </w:tcMar>
            <w:vAlign w:val="center"/>
            <w:hideMark/>
          </w:tcPr>
          <w:p w14:paraId="2C6292F4"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lastRenderedPageBreak/>
              <w:t>Romania</w:t>
            </w:r>
          </w:p>
        </w:tc>
        <w:tc>
          <w:tcPr>
            <w:tcW w:w="619" w:type="pct"/>
            <w:tcMar>
              <w:top w:w="75" w:type="dxa"/>
              <w:left w:w="75" w:type="dxa"/>
              <w:bottom w:w="75" w:type="dxa"/>
              <w:right w:w="75" w:type="dxa"/>
            </w:tcMar>
            <w:vAlign w:val="center"/>
            <w:hideMark/>
          </w:tcPr>
          <w:p w14:paraId="5CAC553C"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2010</w:t>
            </w:r>
          </w:p>
        </w:tc>
        <w:tc>
          <w:tcPr>
            <w:tcW w:w="737" w:type="pct"/>
            <w:tcMar>
              <w:top w:w="75" w:type="dxa"/>
              <w:left w:w="75" w:type="dxa"/>
              <w:bottom w:w="75" w:type="dxa"/>
              <w:right w:w="75" w:type="dxa"/>
            </w:tcMar>
            <w:vAlign w:val="center"/>
            <w:hideMark/>
          </w:tcPr>
          <w:p w14:paraId="5A4EBA48"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3,859,040</w:t>
            </w:r>
          </w:p>
        </w:tc>
        <w:tc>
          <w:tcPr>
            <w:tcW w:w="737" w:type="pct"/>
            <w:tcMar>
              <w:top w:w="75" w:type="dxa"/>
              <w:left w:w="75" w:type="dxa"/>
              <w:bottom w:w="75" w:type="dxa"/>
              <w:right w:w="75" w:type="dxa"/>
            </w:tcMar>
            <w:vAlign w:val="center"/>
            <w:hideMark/>
          </w:tcPr>
          <w:p w14:paraId="194D540B"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1,248,580</w:t>
            </w:r>
          </w:p>
        </w:tc>
        <w:tc>
          <w:tcPr>
            <w:tcW w:w="891" w:type="pct"/>
            <w:tcMar>
              <w:top w:w="75" w:type="dxa"/>
              <w:left w:w="75" w:type="dxa"/>
              <w:bottom w:w="75" w:type="dxa"/>
              <w:right w:w="75" w:type="dxa"/>
            </w:tcMar>
            <w:vAlign w:val="center"/>
            <w:hideMark/>
          </w:tcPr>
          <w:p w14:paraId="469DF573"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32.4%</w:t>
            </w:r>
          </w:p>
        </w:tc>
        <w:tc>
          <w:tcPr>
            <w:tcW w:w="996" w:type="pct"/>
            <w:tcMar>
              <w:top w:w="75" w:type="dxa"/>
              <w:left w:w="75" w:type="dxa"/>
              <w:bottom w:w="75" w:type="dxa"/>
              <w:right w:w="75" w:type="dxa"/>
            </w:tcMar>
            <w:vAlign w:val="center"/>
            <w:hideMark/>
          </w:tcPr>
          <w:p w14:paraId="34DE133F"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Eurostat</w:t>
            </w:r>
          </w:p>
        </w:tc>
      </w:tr>
      <w:tr w:rsidR="007751E2" w:rsidRPr="00937B6F" w14:paraId="35AC52C8" w14:textId="77777777" w:rsidTr="007751E2">
        <w:tc>
          <w:tcPr>
            <w:tcW w:w="1021" w:type="pct"/>
            <w:tcMar>
              <w:top w:w="75" w:type="dxa"/>
              <w:left w:w="75" w:type="dxa"/>
              <w:bottom w:w="75" w:type="dxa"/>
              <w:right w:w="75" w:type="dxa"/>
            </w:tcMar>
            <w:vAlign w:val="center"/>
            <w:hideMark/>
          </w:tcPr>
          <w:p w14:paraId="626857D9"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Serbia</w:t>
            </w:r>
          </w:p>
        </w:tc>
        <w:tc>
          <w:tcPr>
            <w:tcW w:w="619" w:type="pct"/>
            <w:tcMar>
              <w:top w:w="75" w:type="dxa"/>
              <w:left w:w="75" w:type="dxa"/>
              <w:bottom w:w="75" w:type="dxa"/>
              <w:right w:w="75" w:type="dxa"/>
            </w:tcMar>
            <w:vAlign w:val="center"/>
            <w:hideMark/>
          </w:tcPr>
          <w:p w14:paraId="57FF038F"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2002</w:t>
            </w:r>
          </w:p>
        </w:tc>
        <w:tc>
          <w:tcPr>
            <w:tcW w:w="737" w:type="pct"/>
            <w:tcMar>
              <w:top w:w="75" w:type="dxa"/>
              <w:left w:w="75" w:type="dxa"/>
              <w:bottom w:w="75" w:type="dxa"/>
              <w:right w:w="75" w:type="dxa"/>
            </w:tcMar>
            <w:vAlign w:val="center"/>
            <w:hideMark/>
          </w:tcPr>
          <w:p w14:paraId="6D387C15"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778,891</w:t>
            </w:r>
          </w:p>
        </w:tc>
        <w:tc>
          <w:tcPr>
            <w:tcW w:w="737" w:type="pct"/>
            <w:tcMar>
              <w:top w:w="75" w:type="dxa"/>
              <w:left w:w="75" w:type="dxa"/>
              <w:bottom w:w="75" w:type="dxa"/>
              <w:right w:w="75" w:type="dxa"/>
            </w:tcMar>
            <w:vAlign w:val="center"/>
            <w:hideMark/>
          </w:tcPr>
          <w:p w14:paraId="2AFD2A7D"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141,182</w:t>
            </w:r>
          </w:p>
        </w:tc>
        <w:tc>
          <w:tcPr>
            <w:tcW w:w="891" w:type="pct"/>
            <w:tcMar>
              <w:top w:w="75" w:type="dxa"/>
              <w:left w:w="75" w:type="dxa"/>
              <w:bottom w:w="75" w:type="dxa"/>
              <w:right w:w="75" w:type="dxa"/>
            </w:tcMar>
            <w:vAlign w:val="center"/>
            <w:hideMark/>
          </w:tcPr>
          <w:p w14:paraId="4D53D6CD"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18.1%</w:t>
            </w:r>
          </w:p>
        </w:tc>
        <w:tc>
          <w:tcPr>
            <w:tcW w:w="996" w:type="pct"/>
            <w:tcMar>
              <w:top w:w="75" w:type="dxa"/>
              <w:left w:w="75" w:type="dxa"/>
              <w:bottom w:w="75" w:type="dxa"/>
              <w:right w:w="75" w:type="dxa"/>
            </w:tcMar>
            <w:vAlign w:val="center"/>
            <w:hideMark/>
          </w:tcPr>
          <w:p w14:paraId="246444B3"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Agricultural Census</w:t>
            </w:r>
          </w:p>
        </w:tc>
      </w:tr>
      <w:tr w:rsidR="007751E2" w:rsidRPr="00937B6F" w14:paraId="5075A413" w14:textId="77777777" w:rsidTr="007751E2">
        <w:tc>
          <w:tcPr>
            <w:tcW w:w="1021" w:type="pct"/>
            <w:tcMar>
              <w:top w:w="75" w:type="dxa"/>
              <w:left w:w="75" w:type="dxa"/>
              <w:bottom w:w="75" w:type="dxa"/>
              <w:right w:w="75" w:type="dxa"/>
            </w:tcMar>
            <w:vAlign w:val="center"/>
            <w:hideMark/>
          </w:tcPr>
          <w:p w14:paraId="2EF08EA3"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Slovakia</w:t>
            </w:r>
          </w:p>
        </w:tc>
        <w:tc>
          <w:tcPr>
            <w:tcW w:w="619" w:type="pct"/>
            <w:tcMar>
              <w:top w:w="75" w:type="dxa"/>
              <w:left w:w="75" w:type="dxa"/>
              <w:bottom w:w="75" w:type="dxa"/>
              <w:right w:w="75" w:type="dxa"/>
            </w:tcMar>
            <w:vAlign w:val="center"/>
            <w:hideMark/>
          </w:tcPr>
          <w:p w14:paraId="5D9CBDBB"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2010</w:t>
            </w:r>
          </w:p>
        </w:tc>
        <w:tc>
          <w:tcPr>
            <w:tcW w:w="737" w:type="pct"/>
            <w:tcMar>
              <w:top w:w="75" w:type="dxa"/>
              <w:left w:w="75" w:type="dxa"/>
              <w:bottom w:w="75" w:type="dxa"/>
              <w:right w:w="75" w:type="dxa"/>
            </w:tcMar>
            <w:vAlign w:val="center"/>
            <w:hideMark/>
          </w:tcPr>
          <w:p w14:paraId="6127A9D0"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24,460</w:t>
            </w:r>
          </w:p>
        </w:tc>
        <w:tc>
          <w:tcPr>
            <w:tcW w:w="737" w:type="pct"/>
            <w:tcMar>
              <w:top w:w="75" w:type="dxa"/>
              <w:left w:w="75" w:type="dxa"/>
              <w:bottom w:w="75" w:type="dxa"/>
              <w:right w:w="75" w:type="dxa"/>
            </w:tcMar>
            <w:vAlign w:val="center"/>
            <w:hideMark/>
          </w:tcPr>
          <w:p w14:paraId="49AA8C92"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4,710</w:t>
            </w:r>
          </w:p>
        </w:tc>
        <w:tc>
          <w:tcPr>
            <w:tcW w:w="891" w:type="pct"/>
            <w:tcMar>
              <w:top w:w="75" w:type="dxa"/>
              <w:left w:w="75" w:type="dxa"/>
              <w:bottom w:w="75" w:type="dxa"/>
              <w:right w:w="75" w:type="dxa"/>
            </w:tcMar>
            <w:vAlign w:val="center"/>
            <w:hideMark/>
          </w:tcPr>
          <w:p w14:paraId="2EDF881E"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17.0%</w:t>
            </w:r>
          </w:p>
        </w:tc>
        <w:tc>
          <w:tcPr>
            <w:tcW w:w="996" w:type="pct"/>
            <w:tcMar>
              <w:top w:w="75" w:type="dxa"/>
              <w:left w:w="75" w:type="dxa"/>
              <w:bottom w:w="75" w:type="dxa"/>
              <w:right w:w="75" w:type="dxa"/>
            </w:tcMar>
            <w:vAlign w:val="center"/>
            <w:hideMark/>
          </w:tcPr>
          <w:p w14:paraId="5075C0E3"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Eurostat</w:t>
            </w:r>
          </w:p>
        </w:tc>
      </w:tr>
      <w:tr w:rsidR="007751E2" w:rsidRPr="00937B6F" w14:paraId="78273EE1" w14:textId="77777777" w:rsidTr="007751E2">
        <w:tc>
          <w:tcPr>
            <w:tcW w:w="1021" w:type="pct"/>
            <w:tcMar>
              <w:top w:w="75" w:type="dxa"/>
              <w:left w:w="75" w:type="dxa"/>
              <w:bottom w:w="75" w:type="dxa"/>
              <w:right w:w="75" w:type="dxa"/>
            </w:tcMar>
            <w:vAlign w:val="center"/>
            <w:hideMark/>
          </w:tcPr>
          <w:p w14:paraId="4C243E0D"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Slovenia</w:t>
            </w:r>
          </w:p>
        </w:tc>
        <w:tc>
          <w:tcPr>
            <w:tcW w:w="619" w:type="pct"/>
            <w:tcMar>
              <w:top w:w="75" w:type="dxa"/>
              <w:left w:w="75" w:type="dxa"/>
              <w:bottom w:w="75" w:type="dxa"/>
              <w:right w:w="75" w:type="dxa"/>
            </w:tcMar>
            <w:vAlign w:val="center"/>
            <w:hideMark/>
          </w:tcPr>
          <w:p w14:paraId="256D47B3"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2010</w:t>
            </w:r>
          </w:p>
        </w:tc>
        <w:tc>
          <w:tcPr>
            <w:tcW w:w="737" w:type="pct"/>
            <w:tcMar>
              <w:top w:w="75" w:type="dxa"/>
              <w:left w:w="75" w:type="dxa"/>
              <w:bottom w:w="75" w:type="dxa"/>
              <w:right w:w="75" w:type="dxa"/>
            </w:tcMar>
            <w:vAlign w:val="center"/>
            <w:hideMark/>
          </w:tcPr>
          <w:p w14:paraId="6C6462BC"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74,650</w:t>
            </w:r>
          </w:p>
        </w:tc>
        <w:tc>
          <w:tcPr>
            <w:tcW w:w="737" w:type="pct"/>
            <w:tcMar>
              <w:top w:w="75" w:type="dxa"/>
              <w:left w:w="75" w:type="dxa"/>
              <w:bottom w:w="75" w:type="dxa"/>
              <w:right w:w="75" w:type="dxa"/>
            </w:tcMar>
            <w:vAlign w:val="center"/>
            <w:hideMark/>
          </w:tcPr>
          <w:p w14:paraId="622CB5CA"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20,340</w:t>
            </w:r>
          </w:p>
        </w:tc>
        <w:tc>
          <w:tcPr>
            <w:tcW w:w="891" w:type="pct"/>
            <w:tcMar>
              <w:top w:w="75" w:type="dxa"/>
              <w:left w:w="75" w:type="dxa"/>
              <w:bottom w:w="75" w:type="dxa"/>
              <w:right w:w="75" w:type="dxa"/>
            </w:tcMar>
            <w:vAlign w:val="center"/>
            <w:hideMark/>
          </w:tcPr>
          <w:p w14:paraId="6846EB02"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27.2%</w:t>
            </w:r>
          </w:p>
        </w:tc>
        <w:tc>
          <w:tcPr>
            <w:tcW w:w="996" w:type="pct"/>
            <w:tcMar>
              <w:top w:w="75" w:type="dxa"/>
              <w:left w:w="75" w:type="dxa"/>
              <w:bottom w:w="75" w:type="dxa"/>
              <w:right w:w="75" w:type="dxa"/>
            </w:tcMar>
            <w:vAlign w:val="center"/>
            <w:hideMark/>
          </w:tcPr>
          <w:p w14:paraId="03B2A9C3"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Eurostat</w:t>
            </w:r>
          </w:p>
        </w:tc>
      </w:tr>
      <w:tr w:rsidR="007751E2" w:rsidRPr="00937B6F" w14:paraId="5E4A4D5F" w14:textId="77777777" w:rsidTr="007751E2">
        <w:tc>
          <w:tcPr>
            <w:tcW w:w="1021" w:type="pct"/>
            <w:tcMar>
              <w:top w:w="75" w:type="dxa"/>
              <w:left w:w="75" w:type="dxa"/>
              <w:bottom w:w="75" w:type="dxa"/>
              <w:right w:w="75" w:type="dxa"/>
            </w:tcMar>
            <w:vAlign w:val="center"/>
            <w:hideMark/>
          </w:tcPr>
          <w:p w14:paraId="14A441EA"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Spain</w:t>
            </w:r>
          </w:p>
        </w:tc>
        <w:tc>
          <w:tcPr>
            <w:tcW w:w="619" w:type="pct"/>
            <w:tcMar>
              <w:top w:w="75" w:type="dxa"/>
              <w:left w:w="75" w:type="dxa"/>
              <w:bottom w:w="75" w:type="dxa"/>
              <w:right w:w="75" w:type="dxa"/>
            </w:tcMar>
            <w:vAlign w:val="center"/>
            <w:hideMark/>
          </w:tcPr>
          <w:p w14:paraId="7C81715D"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2010</w:t>
            </w:r>
          </w:p>
        </w:tc>
        <w:tc>
          <w:tcPr>
            <w:tcW w:w="737" w:type="pct"/>
            <w:tcMar>
              <w:top w:w="75" w:type="dxa"/>
              <w:left w:w="75" w:type="dxa"/>
              <w:bottom w:w="75" w:type="dxa"/>
              <w:right w:w="75" w:type="dxa"/>
            </w:tcMar>
            <w:vAlign w:val="center"/>
            <w:hideMark/>
          </w:tcPr>
          <w:p w14:paraId="0CE7084E"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989,800</w:t>
            </w:r>
          </w:p>
        </w:tc>
        <w:tc>
          <w:tcPr>
            <w:tcW w:w="737" w:type="pct"/>
            <w:tcMar>
              <w:top w:w="75" w:type="dxa"/>
              <w:left w:w="75" w:type="dxa"/>
              <w:bottom w:w="75" w:type="dxa"/>
              <w:right w:w="75" w:type="dxa"/>
            </w:tcMar>
            <w:vAlign w:val="center"/>
            <w:hideMark/>
          </w:tcPr>
          <w:p w14:paraId="16365435"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214,380</w:t>
            </w:r>
          </w:p>
        </w:tc>
        <w:tc>
          <w:tcPr>
            <w:tcW w:w="891" w:type="pct"/>
            <w:tcMar>
              <w:top w:w="75" w:type="dxa"/>
              <w:left w:w="75" w:type="dxa"/>
              <w:bottom w:w="75" w:type="dxa"/>
              <w:right w:w="75" w:type="dxa"/>
            </w:tcMar>
            <w:vAlign w:val="center"/>
            <w:hideMark/>
          </w:tcPr>
          <w:p w14:paraId="3D492DC0"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21.7%</w:t>
            </w:r>
          </w:p>
        </w:tc>
        <w:tc>
          <w:tcPr>
            <w:tcW w:w="996" w:type="pct"/>
            <w:tcMar>
              <w:top w:w="75" w:type="dxa"/>
              <w:left w:w="75" w:type="dxa"/>
              <w:bottom w:w="75" w:type="dxa"/>
              <w:right w:w="75" w:type="dxa"/>
            </w:tcMar>
            <w:vAlign w:val="center"/>
            <w:hideMark/>
          </w:tcPr>
          <w:p w14:paraId="3B6CF6F1"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Eurostat</w:t>
            </w:r>
          </w:p>
        </w:tc>
      </w:tr>
      <w:tr w:rsidR="007751E2" w:rsidRPr="00937B6F" w14:paraId="5CD8A3B5" w14:textId="77777777" w:rsidTr="007751E2">
        <w:tc>
          <w:tcPr>
            <w:tcW w:w="1021" w:type="pct"/>
            <w:tcMar>
              <w:top w:w="75" w:type="dxa"/>
              <w:left w:w="75" w:type="dxa"/>
              <w:bottom w:w="75" w:type="dxa"/>
              <w:right w:w="75" w:type="dxa"/>
            </w:tcMar>
            <w:vAlign w:val="center"/>
            <w:hideMark/>
          </w:tcPr>
          <w:p w14:paraId="63871CD6"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Sweden</w:t>
            </w:r>
          </w:p>
        </w:tc>
        <w:tc>
          <w:tcPr>
            <w:tcW w:w="619" w:type="pct"/>
            <w:tcMar>
              <w:top w:w="75" w:type="dxa"/>
              <w:left w:w="75" w:type="dxa"/>
              <w:bottom w:w="75" w:type="dxa"/>
              <w:right w:w="75" w:type="dxa"/>
            </w:tcMar>
            <w:vAlign w:val="center"/>
            <w:hideMark/>
          </w:tcPr>
          <w:p w14:paraId="516A2A16"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2010</w:t>
            </w:r>
          </w:p>
        </w:tc>
        <w:tc>
          <w:tcPr>
            <w:tcW w:w="737" w:type="pct"/>
            <w:tcMar>
              <w:top w:w="75" w:type="dxa"/>
              <w:left w:w="75" w:type="dxa"/>
              <w:bottom w:w="75" w:type="dxa"/>
              <w:right w:w="75" w:type="dxa"/>
            </w:tcMar>
            <w:vAlign w:val="center"/>
            <w:hideMark/>
          </w:tcPr>
          <w:p w14:paraId="70DD80DB"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71,090</w:t>
            </w:r>
          </w:p>
        </w:tc>
        <w:tc>
          <w:tcPr>
            <w:tcW w:w="737" w:type="pct"/>
            <w:tcMar>
              <w:top w:w="75" w:type="dxa"/>
              <w:left w:w="75" w:type="dxa"/>
              <w:bottom w:w="75" w:type="dxa"/>
              <w:right w:w="75" w:type="dxa"/>
            </w:tcMar>
            <w:vAlign w:val="center"/>
            <w:hideMark/>
          </w:tcPr>
          <w:p w14:paraId="7CA53CDA"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10,950</w:t>
            </w:r>
          </w:p>
        </w:tc>
        <w:tc>
          <w:tcPr>
            <w:tcW w:w="891" w:type="pct"/>
            <w:tcMar>
              <w:top w:w="75" w:type="dxa"/>
              <w:left w:w="75" w:type="dxa"/>
              <w:bottom w:w="75" w:type="dxa"/>
              <w:right w:w="75" w:type="dxa"/>
            </w:tcMar>
            <w:vAlign w:val="center"/>
            <w:hideMark/>
          </w:tcPr>
          <w:p w14:paraId="6A1C7B97"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15.4%</w:t>
            </w:r>
          </w:p>
        </w:tc>
        <w:tc>
          <w:tcPr>
            <w:tcW w:w="996" w:type="pct"/>
            <w:tcMar>
              <w:top w:w="75" w:type="dxa"/>
              <w:left w:w="75" w:type="dxa"/>
              <w:bottom w:w="75" w:type="dxa"/>
              <w:right w:w="75" w:type="dxa"/>
            </w:tcMar>
            <w:vAlign w:val="center"/>
            <w:hideMark/>
          </w:tcPr>
          <w:p w14:paraId="61BE4E8F"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Eurostat</w:t>
            </w:r>
          </w:p>
        </w:tc>
      </w:tr>
      <w:tr w:rsidR="007751E2" w:rsidRPr="00937B6F" w14:paraId="15C9A5AF" w14:textId="77777777" w:rsidTr="007751E2">
        <w:trPr>
          <w:trHeight w:val="366"/>
        </w:trPr>
        <w:tc>
          <w:tcPr>
            <w:tcW w:w="1021" w:type="pct"/>
            <w:tcMar>
              <w:top w:w="75" w:type="dxa"/>
              <w:left w:w="75" w:type="dxa"/>
              <w:bottom w:w="75" w:type="dxa"/>
              <w:right w:w="75" w:type="dxa"/>
            </w:tcMar>
            <w:vAlign w:val="center"/>
            <w:hideMark/>
          </w:tcPr>
          <w:p w14:paraId="7E0D35D6"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Switzerland</w:t>
            </w:r>
          </w:p>
        </w:tc>
        <w:tc>
          <w:tcPr>
            <w:tcW w:w="619" w:type="pct"/>
            <w:tcMar>
              <w:top w:w="75" w:type="dxa"/>
              <w:left w:w="75" w:type="dxa"/>
              <w:bottom w:w="75" w:type="dxa"/>
              <w:right w:w="75" w:type="dxa"/>
            </w:tcMar>
            <w:vAlign w:val="center"/>
            <w:hideMark/>
          </w:tcPr>
          <w:p w14:paraId="5BD73FD6"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2010</w:t>
            </w:r>
          </w:p>
        </w:tc>
        <w:tc>
          <w:tcPr>
            <w:tcW w:w="737" w:type="pct"/>
            <w:tcMar>
              <w:top w:w="75" w:type="dxa"/>
              <w:left w:w="75" w:type="dxa"/>
              <w:bottom w:w="75" w:type="dxa"/>
              <w:right w:w="75" w:type="dxa"/>
            </w:tcMar>
            <w:vAlign w:val="center"/>
            <w:hideMark/>
          </w:tcPr>
          <w:p w14:paraId="6BB8E090"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59,070</w:t>
            </w:r>
          </w:p>
        </w:tc>
        <w:tc>
          <w:tcPr>
            <w:tcW w:w="737" w:type="pct"/>
            <w:tcMar>
              <w:top w:w="75" w:type="dxa"/>
              <w:left w:w="75" w:type="dxa"/>
              <w:bottom w:w="75" w:type="dxa"/>
              <w:right w:w="75" w:type="dxa"/>
            </w:tcMar>
            <w:vAlign w:val="center"/>
            <w:hideMark/>
          </w:tcPr>
          <w:p w14:paraId="2E8BDCC4"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3,820</w:t>
            </w:r>
          </w:p>
        </w:tc>
        <w:tc>
          <w:tcPr>
            <w:tcW w:w="891" w:type="pct"/>
            <w:tcMar>
              <w:top w:w="75" w:type="dxa"/>
              <w:left w:w="75" w:type="dxa"/>
              <w:bottom w:w="75" w:type="dxa"/>
              <w:right w:w="75" w:type="dxa"/>
            </w:tcMar>
            <w:vAlign w:val="center"/>
            <w:hideMark/>
          </w:tcPr>
          <w:p w14:paraId="46A106C5"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6.5%</w:t>
            </w:r>
          </w:p>
        </w:tc>
        <w:tc>
          <w:tcPr>
            <w:tcW w:w="996" w:type="pct"/>
            <w:tcMar>
              <w:top w:w="75" w:type="dxa"/>
              <w:left w:w="75" w:type="dxa"/>
              <w:bottom w:w="75" w:type="dxa"/>
              <w:right w:w="75" w:type="dxa"/>
            </w:tcMar>
            <w:vAlign w:val="center"/>
            <w:hideMark/>
          </w:tcPr>
          <w:p w14:paraId="2A8D9CEB"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Eurostat</w:t>
            </w:r>
          </w:p>
        </w:tc>
      </w:tr>
      <w:tr w:rsidR="007751E2" w:rsidRPr="00937B6F" w14:paraId="1B471A5A" w14:textId="77777777" w:rsidTr="007751E2">
        <w:tc>
          <w:tcPr>
            <w:tcW w:w="1021" w:type="pct"/>
            <w:tcMar>
              <w:top w:w="75" w:type="dxa"/>
              <w:left w:w="75" w:type="dxa"/>
              <w:bottom w:w="75" w:type="dxa"/>
              <w:right w:w="75" w:type="dxa"/>
            </w:tcMar>
            <w:vAlign w:val="center"/>
            <w:hideMark/>
          </w:tcPr>
          <w:p w14:paraId="73E5FAE5"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United Kingdom</w:t>
            </w:r>
          </w:p>
        </w:tc>
        <w:tc>
          <w:tcPr>
            <w:tcW w:w="619" w:type="pct"/>
            <w:tcMar>
              <w:top w:w="75" w:type="dxa"/>
              <w:left w:w="75" w:type="dxa"/>
              <w:bottom w:w="75" w:type="dxa"/>
              <w:right w:w="75" w:type="dxa"/>
            </w:tcMar>
            <w:vAlign w:val="center"/>
            <w:hideMark/>
          </w:tcPr>
          <w:p w14:paraId="58D7189A"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2010</w:t>
            </w:r>
          </w:p>
        </w:tc>
        <w:tc>
          <w:tcPr>
            <w:tcW w:w="737" w:type="pct"/>
            <w:tcMar>
              <w:top w:w="75" w:type="dxa"/>
              <w:left w:w="75" w:type="dxa"/>
              <w:bottom w:w="75" w:type="dxa"/>
              <w:right w:w="75" w:type="dxa"/>
            </w:tcMar>
            <w:vAlign w:val="center"/>
            <w:hideMark/>
          </w:tcPr>
          <w:p w14:paraId="4ED7BE0F"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186,800</w:t>
            </w:r>
          </w:p>
        </w:tc>
        <w:tc>
          <w:tcPr>
            <w:tcW w:w="737" w:type="pct"/>
            <w:tcMar>
              <w:top w:w="75" w:type="dxa"/>
              <w:left w:w="75" w:type="dxa"/>
              <w:bottom w:w="75" w:type="dxa"/>
              <w:right w:w="75" w:type="dxa"/>
            </w:tcMar>
            <w:vAlign w:val="center"/>
            <w:hideMark/>
          </w:tcPr>
          <w:p w14:paraId="45A337CA"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24,490</w:t>
            </w:r>
          </w:p>
        </w:tc>
        <w:tc>
          <w:tcPr>
            <w:tcW w:w="891" w:type="pct"/>
            <w:tcMar>
              <w:top w:w="75" w:type="dxa"/>
              <w:left w:w="75" w:type="dxa"/>
              <w:bottom w:w="75" w:type="dxa"/>
              <w:right w:w="75" w:type="dxa"/>
            </w:tcMar>
            <w:vAlign w:val="center"/>
            <w:hideMark/>
          </w:tcPr>
          <w:p w14:paraId="21A02144" w14:textId="77777777" w:rsidR="007751E2" w:rsidRPr="00937B6F" w:rsidRDefault="007751E2" w:rsidP="005D1CAC">
            <w:pPr>
              <w:spacing w:before="15"/>
              <w:ind w:right="15"/>
              <w:jc w:val="center"/>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13.1%</w:t>
            </w:r>
          </w:p>
        </w:tc>
        <w:tc>
          <w:tcPr>
            <w:tcW w:w="996" w:type="pct"/>
            <w:tcMar>
              <w:top w:w="75" w:type="dxa"/>
              <w:left w:w="75" w:type="dxa"/>
              <w:bottom w:w="75" w:type="dxa"/>
              <w:right w:w="75" w:type="dxa"/>
            </w:tcMar>
            <w:vAlign w:val="center"/>
            <w:hideMark/>
          </w:tcPr>
          <w:p w14:paraId="1729023A" w14:textId="77777777" w:rsidR="007751E2" w:rsidRPr="00937B6F" w:rsidRDefault="007751E2" w:rsidP="005D1CAC">
            <w:pPr>
              <w:spacing w:before="15"/>
              <w:ind w:right="15"/>
              <w:rPr>
                <w:rFonts w:ascii="Open Sans" w:eastAsia="Times New Roman" w:hAnsi="Open Sans" w:cs="Times New Roman"/>
                <w:color w:val="003B43"/>
                <w:sz w:val="19"/>
                <w:szCs w:val="19"/>
                <w:lang w:val="en-AU"/>
              </w:rPr>
            </w:pPr>
            <w:r w:rsidRPr="00937B6F">
              <w:rPr>
                <w:rFonts w:ascii="Open Sans" w:eastAsia="Times New Roman" w:hAnsi="Open Sans" w:cs="Times New Roman"/>
                <w:color w:val="003B43"/>
                <w:sz w:val="19"/>
                <w:szCs w:val="19"/>
                <w:lang w:val="en-AU"/>
              </w:rPr>
              <w:t>Eurostat</w:t>
            </w:r>
          </w:p>
        </w:tc>
      </w:tr>
    </w:tbl>
    <w:p w14:paraId="11CAB9C7" w14:textId="77777777" w:rsidR="005D1CAC" w:rsidRPr="001E4835" w:rsidRDefault="005D1CAC" w:rsidP="007C59F1">
      <w:pPr>
        <w:spacing w:before="240"/>
        <w:ind w:left="0" w:firstLine="0"/>
        <w:contextualSpacing w:val="0"/>
      </w:pPr>
      <w:r w:rsidRPr="001E4835">
        <w:rPr>
          <w:rFonts w:ascii="Arial" w:hAnsi="Arial" w:cs="Arial"/>
          <w:color w:val="000000" w:themeColor="text1"/>
        </w:rPr>
        <w:t xml:space="preserve">Source FAO Gender and Land Rights Database </w:t>
      </w:r>
      <w:hyperlink r:id="rId8" w:history="1">
        <w:r w:rsidRPr="001E4835">
          <w:rPr>
            <w:rStyle w:val="Hyperlink"/>
          </w:rPr>
          <w:t>http://www.fao.org/gender-landrights-database/data-map/statistics/en/</w:t>
        </w:r>
      </w:hyperlink>
    </w:p>
    <w:p w14:paraId="2945BAEC" w14:textId="209B3E99" w:rsidR="007C7A06" w:rsidRDefault="007C7A06">
      <w:pPr>
        <w:rPr>
          <w:rFonts w:ascii="Arial" w:hAnsi="Arial" w:cs="Arial"/>
          <w:color w:val="000000" w:themeColor="text1"/>
          <w:sz w:val="22"/>
          <w:szCs w:val="22"/>
        </w:rPr>
      </w:pPr>
      <w:r>
        <w:rPr>
          <w:rFonts w:ascii="Arial" w:hAnsi="Arial" w:cs="Arial"/>
          <w:color w:val="000000" w:themeColor="text1"/>
          <w:sz w:val="22"/>
          <w:szCs w:val="22"/>
        </w:rPr>
        <w:br w:type="page"/>
      </w:r>
    </w:p>
    <w:p w14:paraId="51C6CF04" w14:textId="77777777" w:rsidR="006B5D21" w:rsidRPr="006B5D21" w:rsidRDefault="006B5D21" w:rsidP="006B5D21">
      <w:pPr>
        <w:widowControl w:val="0"/>
        <w:ind w:left="0" w:firstLine="0"/>
        <w:contextualSpacing w:val="0"/>
        <w:rPr>
          <w:rFonts w:ascii="Arial" w:hAnsi="Arial" w:cs="Arial"/>
          <w:color w:val="5B9BD5" w:themeColor="accent1"/>
          <w:sz w:val="24"/>
          <w:szCs w:val="24"/>
        </w:rPr>
      </w:pPr>
      <w:r>
        <w:rPr>
          <w:rFonts w:ascii="Arial" w:hAnsi="Arial" w:cs="Arial"/>
          <w:b/>
          <w:color w:val="5B9BD5" w:themeColor="accent1"/>
          <w:sz w:val="24"/>
          <w:szCs w:val="24"/>
        </w:rPr>
        <w:lastRenderedPageBreak/>
        <w:t>G</w:t>
      </w:r>
      <w:r w:rsidRPr="00D528E0">
        <w:rPr>
          <w:rFonts w:ascii="Arial" w:hAnsi="Arial" w:cs="Arial"/>
          <w:b/>
          <w:color w:val="5B9BD5" w:themeColor="accent1"/>
          <w:sz w:val="24"/>
          <w:szCs w:val="24"/>
        </w:rPr>
        <w:t xml:space="preserve">. </w:t>
      </w:r>
      <w:r>
        <w:rPr>
          <w:rFonts w:ascii="Arial" w:hAnsi="Arial" w:cs="Arial"/>
          <w:b/>
          <w:color w:val="5B9BD5" w:themeColor="accent1"/>
          <w:sz w:val="24"/>
          <w:szCs w:val="24"/>
        </w:rPr>
        <w:t>ANNEX II</w:t>
      </w:r>
    </w:p>
    <w:p w14:paraId="59D609FB" w14:textId="77777777" w:rsidR="006B5D21" w:rsidRPr="00A906F1" w:rsidRDefault="006B5D21" w:rsidP="006B5D21">
      <w:pPr>
        <w:ind w:left="0" w:firstLine="0"/>
        <w:rPr>
          <w:rFonts w:ascii="Arial" w:hAnsi="Arial" w:cs="Arial"/>
          <w:color w:val="000000" w:themeColor="text1"/>
          <w:sz w:val="24"/>
          <w:szCs w:val="24"/>
        </w:rPr>
      </w:pPr>
    </w:p>
    <w:tbl>
      <w:tblPr>
        <w:tblStyle w:val="TableGrid"/>
        <w:tblpPr w:leftFromText="141" w:rightFromText="141" w:vertAnchor="page" w:horzAnchor="page" w:tblpX="1477" w:tblpY="1981"/>
        <w:tblW w:w="0" w:type="auto"/>
        <w:tblLook w:val="04A0" w:firstRow="1" w:lastRow="0" w:firstColumn="1" w:lastColumn="0" w:noHBand="0" w:noVBand="1"/>
      </w:tblPr>
      <w:tblGrid>
        <w:gridCol w:w="8459"/>
      </w:tblGrid>
      <w:tr w:rsidR="006B5D21" w:rsidRPr="00A906F1" w14:paraId="3DD06E96" w14:textId="77777777" w:rsidTr="007C59F1">
        <w:trPr>
          <w:trHeight w:val="274"/>
          <w:tblHeader/>
        </w:trPr>
        <w:tc>
          <w:tcPr>
            <w:tcW w:w="8459" w:type="dxa"/>
          </w:tcPr>
          <w:p w14:paraId="0349B5CF" w14:textId="77777777" w:rsidR="006B5D21" w:rsidRPr="00A906F1" w:rsidRDefault="006B5D21" w:rsidP="006B5D21">
            <w:pPr>
              <w:widowControl w:val="0"/>
              <w:ind w:left="0" w:firstLine="0"/>
              <w:contextualSpacing w:val="0"/>
              <w:rPr>
                <w:rFonts w:ascii="Arial" w:hAnsi="Arial" w:cs="Arial"/>
                <w:b/>
                <w:color w:val="000000" w:themeColor="text1"/>
                <w:sz w:val="24"/>
                <w:szCs w:val="24"/>
              </w:rPr>
            </w:pPr>
            <w:r w:rsidRPr="00A906F1">
              <w:rPr>
                <w:rFonts w:ascii="Arial" w:hAnsi="Arial" w:cs="Arial"/>
                <w:b/>
                <w:color w:val="000000" w:themeColor="text1"/>
                <w:sz w:val="24"/>
                <w:szCs w:val="24"/>
              </w:rPr>
              <w:lastRenderedPageBreak/>
              <w:t>LAWS ON JOINT REGISTRATION</w:t>
            </w:r>
          </w:p>
        </w:tc>
      </w:tr>
      <w:tr w:rsidR="006B5D21" w:rsidRPr="0018618A" w14:paraId="3D4EAE56" w14:textId="77777777" w:rsidTr="007C59F1">
        <w:trPr>
          <w:trHeight w:val="1665"/>
          <w:tblHeader/>
        </w:trPr>
        <w:tc>
          <w:tcPr>
            <w:tcW w:w="8459" w:type="dxa"/>
          </w:tcPr>
          <w:p w14:paraId="002F46AB" w14:textId="77777777" w:rsidR="00D95BC3" w:rsidRDefault="00D95BC3" w:rsidP="006B5D21">
            <w:pPr>
              <w:widowControl w:val="0"/>
              <w:ind w:left="0" w:firstLine="0"/>
              <w:contextualSpacing w:val="0"/>
              <w:rPr>
                <w:rFonts w:ascii="Arial" w:hAnsi="Arial" w:cs="Arial"/>
                <w:b/>
                <w:color w:val="000000" w:themeColor="text1"/>
                <w:sz w:val="22"/>
                <w:szCs w:val="22"/>
                <w:lang w:val="fr-FR"/>
              </w:rPr>
            </w:pPr>
          </w:p>
          <w:p w14:paraId="30B6ADE4" w14:textId="77777777" w:rsidR="006B5D21" w:rsidRPr="004B68BC" w:rsidRDefault="006B5D21" w:rsidP="006B5D21">
            <w:pPr>
              <w:widowControl w:val="0"/>
              <w:ind w:left="0" w:firstLine="0"/>
              <w:contextualSpacing w:val="0"/>
              <w:rPr>
                <w:rFonts w:ascii="Arial" w:hAnsi="Arial" w:cs="Arial"/>
                <w:b/>
                <w:color w:val="000000" w:themeColor="text1"/>
                <w:sz w:val="22"/>
                <w:szCs w:val="22"/>
                <w:lang w:val="fr-FR"/>
              </w:rPr>
            </w:pPr>
            <w:r w:rsidRPr="004B68BC">
              <w:rPr>
                <w:rFonts w:ascii="Arial" w:hAnsi="Arial" w:cs="Arial"/>
                <w:b/>
                <w:color w:val="000000" w:themeColor="text1"/>
                <w:sz w:val="22"/>
                <w:szCs w:val="22"/>
                <w:lang w:val="fr-FR"/>
              </w:rPr>
              <w:t>FRANCE</w:t>
            </w:r>
          </w:p>
          <w:p w14:paraId="6B39DE44" w14:textId="77777777" w:rsidR="006B5D21" w:rsidRDefault="006B5D21" w:rsidP="006B5D21">
            <w:pPr>
              <w:widowControl w:val="0"/>
              <w:ind w:left="0" w:firstLine="0"/>
              <w:contextualSpacing w:val="0"/>
              <w:rPr>
                <w:rFonts w:ascii="Arial" w:hAnsi="Arial" w:cs="Arial"/>
                <w:color w:val="000000" w:themeColor="text1"/>
                <w:sz w:val="22"/>
                <w:szCs w:val="22"/>
                <w:lang w:val="fr-FR"/>
              </w:rPr>
            </w:pPr>
          </w:p>
          <w:p w14:paraId="2610C825" w14:textId="77777777" w:rsidR="006B5D21" w:rsidRPr="0018618A" w:rsidRDefault="006B5D21" w:rsidP="006B5D21">
            <w:pPr>
              <w:widowControl w:val="0"/>
              <w:ind w:left="0" w:firstLine="0"/>
              <w:contextualSpacing w:val="0"/>
              <w:rPr>
                <w:rFonts w:ascii="Arial" w:hAnsi="Arial" w:cs="Arial"/>
                <w:color w:val="000000" w:themeColor="text1"/>
                <w:sz w:val="22"/>
                <w:szCs w:val="22"/>
                <w:lang w:val="fr-FR"/>
              </w:rPr>
            </w:pPr>
            <w:r w:rsidRPr="0018618A">
              <w:rPr>
                <w:rFonts w:ascii="Arial" w:hAnsi="Arial" w:cs="Arial"/>
                <w:color w:val="000000" w:themeColor="text1"/>
                <w:sz w:val="22"/>
                <w:szCs w:val="22"/>
                <w:lang w:val="fr-FR"/>
              </w:rPr>
              <w:t xml:space="preserve">Décret n°55-22 du 4 janvier 1955 portant réforme de la publicité foncière </w:t>
            </w:r>
          </w:p>
          <w:p w14:paraId="6CDB0D94" w14:textId="77777777" w:rsidR="006B5D21" w:rsidRPr="0018618A" w:rsidRDefault="006B5D21" w:rsidP="006B5D21">
            <w:pPr>
              <w:widowControl w:val="0"/>
              <w:ind w:left="0" w:firstLine="0"/>
              <w:contextualSpacing w:val="0"/>
              <w:rPr>
                <w:rFonts w:ascii="Arial" w:hAnsi="Arial" w:cs="Arial"/>
                <w:color w:val="000000" w:themeColor="text1"/>
                <w:sz w:val="22"/>
                <w:szCs w:val="22"/>
                <w:lang w:val="fr-FR"/>
              </w:rPr>
            </w:pPr>
          </w:p>
          <w:p w14:paraId="2AA4D450" w14:textId="77777777" w:rsidR="006B5D21" w:rsidRPr="0018618A" w:rsidRDefault="006B5D21" w:rsidP="006B5D21">
            <w:pPr>
              <w:widowControl w:val="0"/>
              <w:ind w:left="0" w:firstLine="0"/>
              <w:contextualSpacing w:val="0"/>
              <w:rPr>
                <w:rFonts w:ascii="Arial" w:hAnsi="Arial" w:cs="Arial"/>
                <w:color w:val="000000" w:themeColor="text1"/>
                <w:sz w:val="22"/>
                <w:szCs w:val="22"/>
                <w:lang w:val="fr-FR"/>
              </w:rPr>
            </w:pPr>
            <w:r w:rsidRPr="0018618A">
              <w:rPr>
                <w:rFonts w:ascii="Arial" w:hAnsi="Arial" w:cs="Arial"/>
                <w:color w:val="000000" w:themeColor="text1"/>
                <w:sz w:val="22"/>
                <w:szCs w:val="22"/>
                <w:lang w:val="fr-FR"/>
              </w:rPr>
              <w:t xml:space="preserve">Art. 1. Il est tenu, pour chaque commune, par les services chargés de la publicité foncière, un fichier immobilier sur lequel, au fur et à mesure des dépôts, sont répertoriés sous le nom de chaque propriétaire, et, par immeuble, des extraits des documents publiés, avec référence à leur classement dans les archives. Le fichier immobilier présente, telle qu'elle résulte des documents publiés, la situation juridique actuelle des immeubles. </w:t>
            </w:r>
          </w:p>
          <w:p w14:paraId="1071CA1F" w14:textId="77777777" w:rsidR="006B5D21" w:rsidRPr="0018618A" w:rsidRDefault="006B5D21" w:rsidP="006B5D21">
            <w:pPr>
              <w:widowControl w:val="0"/>
              <w:ind w:left="0" w:firstLine="0"/>
              <w:contextualSpacing w:val="0"/>
              <w:rPr>
                <w:rFonts w:ascii="Arial" w:hAnsi="Arial" w:cs="Arial"/>
                <w:color w:val="000000" w:themeColor="text1"/>
                <w:sz w:val="22"/>
                <w:szCs w:val="22"/>
                <w:lang w:val="fr-FR"/>
              </w:rPr>
            </w:pPr>
          </w:p>
          <w:p w14:paraId="7863BE8E" w14:textId="77777777" w:rsidR="006B5D21" w:rsidRPr="0018618A" w:rsidRDefault="006B5D21" w:rsidP="006B5D21">
            <w:pPr>
              <w:widowControl w:val="0"/>
              <w:ind w:left="0" w:firstLine="0"/>
              <w:contextualSpacing w:val="0"/>
              <w:rPr>
                <w:rFonts w:ascii="Arial" w:hAnsi="Arial" w:cs="Arial"/>
                <w:color w:val="000000" w:themeColor="text1"/>
                <w:sz w:val="22"/>
                <w:szCs w:val="22"/>
                <w:lang w:val="fr-FR"/>
              </w:rPr>
            </w:pPr>
            <w:r w:rsidRPr="0018618A">
              <w:rPr>
                <w:rFonts w:ascii="Arial" w:hAnsi="Arial" w:cs="Arial"/>
                <w:color w:val="000000" w:themeColor="text1"/>
                <w:sz w:val="22"/>
                <w:szCs w:val="22"/>
                <w:lang w:val="fr-FR"/>
              </w:rPr>
              <w:t xml:space="preserve">Art. 5 Tout acte ou décision judiciaire sujet à publicité dans un service chargé de la publicité foncière doit contenir les nom, prénoms dans l'ordre de l'état civil, domicile, date et lieu de naissance et profession des parties, ainsi que le nom de leur conjoint. Les nom, prénoms dans l'ordre de l'état civil, domicile, date et lieu de naissance des parties, le nom de leur conjoint, doivent être certifiés par un notaire, avocat, huissier de justice, mandataire judiciaire, administrateur judiciaire ou une autorité administrative, au pied de tout bordereau, extrait, expédition ou copie, déposé pour l'exécution de la formalité. </w:t>
            </w:r>
          </w:p>
          <w:p w14:paraId="25924FBD" w14:textId="77777777" w:rsidR="006B5D21" w:rsidRPr="0018618A" w:rsidRDefault="006B5D21" w:rsidP="006B5D21">
            <w:pPr>
              <w:widowControl w:val="0"/>
              <w:ind w:left="0" w:firstLine="0"/>
              <w:contextualSpacing w:val="0"/>
              <w:rPr>
                <w:rFonts w:ascii="Arial" w:hAnsi="Arial" w:cs="Arial"/>
                <w:color w:val="000000" w:themeColor="text1"/>
                <w:sz w:val="22"/>
                <w:szCs w:val="22"/>
                <w:lang w:val="fr-FR"/>
              </w:rPr>
            </w:pPr>
          </w:p>
          <w:p w14:paraId="7909CCC4" w14:textId="77777777" w:rsidR="006B5D21" w:rsidRDefault="006B5D21" w:rsidP="006B5D21">
            <w:pPr>
              <w:widowControl w:val="0"/>
              <w:ind w:left="0" w:firstLine="0"/>
              <w:contextualSpacing w:val="0"/>
              <w:rPr>
                <w:rFonts w:ascii="Arial" w:hAnsi="Arial" w:cs="Arial"/>
                <w:color w:val="000000" w:themeColor="text1"/>
                <w:sz w:val="22"/>
                <w:szCs w:val="22"/>
                <w:lang w:val="fr-FR"/>
              </w:rPr>
            </w:pPr>
            <w:r w:rsidRPr="0018618A">
              <w:rPr>
                <w:rFonts w:ascii="Arial" w:hAnsi="Arial" w:cs="Arial"/>
                <w:color w:val="000000" w:themeColor="text1"/>
                <w:sz w:val="22"/>
                <w:szCs w:val="22"/>
                <w:lang w:val="fr-FR"/>
              </w:rPr>
              <w:t>Art. 28. Sont obligatoirement publiés au service chargé de la publicité foncière de la situation des immeubles : 1° Tous actes, même assortis d'une condition suspensive, et toutes décisions judiciaires, portant ou constatant entre vifs : a) Mutation ou constitution de droits réels immobiliers, y compris les obligations réelles définies à l'article L. 132-3 du code de l'environnement, autres que les privilèges et hypothèques, qui sont conservés suivant les modalités prévues au code civil; (…)</w:t>
            </w:r>
          </w:p>
          <w:p w14:paraId="08016382" w14:textId="77777777" w:rsidR="006B5D21" w:rsidRDefault="006B5D21" w:rsidP="006B5D21">
            <w:pPr>
              <w:widowControl w:val="0"/>
              <w:ind w:left="0" w:firstLine="0"/>
              <w:contextualSpacing w:val="0"/>
              <w:rPr>
                <w:rFonts w:ascii="Arial" w:hAnsi="Arial" w:cs="Arial"/>
                <w:color w:val="000000" w:themeColor="text1"/>
                <w:sz w:val="22"/>
                <w:szCs w:val="22"/>
                <w:lang w:val="fr-FR"/>
              </w:rPr>
            </w:pPr>
          </w:p>
          <w:p w14:paraId="38531FB5" w14:textId="77777777" w:rsidR="006B5D21" w:rsidRDefault="006B5D21" w:rsidP="006B5D21">
            <w:pPr>
              <w:widowControl w:val="0"/>
              <w:ind w:left="0" w:firstLine="0"/>
              <w:contextualSpacing w:val="0"/>
              <w:rPr>
                <w:rFonts w:ascii="Arial" w:hAnsi="Arial" w:cs="Arial"/>
                <w:color w:val="000000" w:themeColor="text1"/>
                <w:sz w:val="22"/>
                <w:szCs w:val="22"/>
                <w:lang w:val="fr-FR"/>
              </w:rPr>
            </w:pPr>
          </w:p>
          <w:p w14:paraId="67F44668" w14:textId="77777777" w:rsidR="006B5D21" w:rsidRDefault="006B5D21" w:rsidP="006B5D21">
            <w:pPr>
              <w:widowControl w:val="0"/>
              <w:ind w:left="0" w:firstLine="0"/>
              <w:contextualSpacing w:val="0"/>
              <w:rPr>
                <w:rFonts w:ascii="Arial" w:hAnsi="Arial" w:cs="Arial"/>
                <w:b/>
                <w:color w:val="000000" w:themeColor="text1"/>
                <w:sz w:val="22"/>
                <w:szCs w:val="22"/>
              </w:rPr>
            </w:pPr>
            <w:r>
              <w:rPr>
                <w:rFonts w:ascii="Arial" w:hAnsi="Arial" w:cs="Arial"/>
                <w:b/>
                <w:color w:val="000000" w:themeColor="text1"/>
                <w:sz w:val="22"/>
                <w:szCs w:val="22"/>
              </w:rPr>
              <w:t>ALBANIA</w:t>
            </w:r>
          </w:p>
          <w:p w14:paraId="213DF3F3" w14:textId="77777777" w:rsidR="006B5D21" w:rsidRDefault="006B5D21" w:rsidP="006B5D21">
            <w:pPr>
              <w:widowControl w:val="0"/>
              <w:ind w:left="0" w:firstLine="0"/>
              <w:contextualSpacing w:val="0"/>
              <w:rPr>
                <w:rFonts w:ascii="Arial" w:hAnsi="Arial" w:cs="Arial"/>
                <w:b/>
                <w:color w:val="000000" w:themeColor="text1"/>
                <w:sz w:val="22"/>
                <w:szCs w:val="22"/>
              </w:rPr>
            </w:pPr>
          </w:p>
          <w:p w14:paraId="60C487E5" w14:textId="77777777" w:rsidR="006B5D21" w:rsidRPr="009865E2" w:rsidRDefault="006B5D21" w:rsidP="006B5D21">
            <w:pPr>
              <w:widowControl w:val="0"/>
              <w:ind w:left="0" w:firstLine="0"/>
              <w:contextualSpacing w:val="0"/>
              <w:rPr>
                <w:rFonts w:ascii="Arial" w:hAnsi="Arial" w:cs="Arial"/>
                <w:b/>
                <w:bCs/>
                <w:color w:val="000000" w:themeColor="text1"/>
                <w:sz w:val="22"/>
                <w:szCs w:val="22"/>
              </w:rPr>
            </w:pPr>
            <w:r w:rsidRPr="009865E2">
              <w:rPr>
                <w:rFonts w:ascii="Arial" w:hAnsi="Arial" w:cs="Arial"/>
                <w:b/>
                <w:bCs/>
                <w:color w:val="000000" w:themeColor="text1"/>
                <w:sz w:val="22"/>
                <w:szCs w:val="22"/>
              </w:rPr>
              <w:t>Law No. 33/2012 “On registration of immovable property”</w:t>
            </w:r>
            <w:r w:rsidRPr="009865E2">
              <w:rPr>
                <w:rFonts w:ascii="Arial" w:hAnsi="Arial" w:cs="Arial"/>
                <w:bCs/>
                <w:color w:val="000000" w:themeColor="text1"/>
                <w:sz w:val="22"/>
                <w:szCs w:val="22"/>
              </w:rPr>
              <w:t xml:space="preserve"> (amended)</w:t>
            </w:r>
            <w:r w:rsidRPr="009865E2">
              <w:rPr>
                <w:rFonts w:ascii="Arial" w:hAnsi="Arial" w:cs="Arial"/>
                <w:bCs/>
                <w:color w:val="000000" w:themeColor="text1"/>
                <w:sz w:val="22"/>
                <w:szCs w:val="22"/>
                <w:u w:val="single"/>
              </w:rPr>
              <w:t xml:space="preserve"> </w:t>
            </w:r>
          </w:p>
          <w:p w14:paraId="6E9E3521" w14:textId="77777777" w:rsidR="006B5D21" w:rsidRDefault="006B5D21" w:rsidP="006B5D21">
            <w:pPr>
              <w:widowControl w:val="0"/>
              <w:ind w:left="0" w:firstLine="0"/>
              <w:contextualSpacing w:val="0"/>
              <w:rPr>
                <w:rFonts w:ascii="Arial" w:hAnsi="Arial" w:cs="Arial"/>
                <w:b/>
                <w:bCs/>
                <w:color w:val="000000" w:themeColor="text1"/>
                <w:sz w:val="22"/>
                <w:szCs w:val="22"/>
              </w:rPr>
            </w:pPr>
          </w:p>
          <w:p w14:paraId="46692421" w14:textId="77777777" w:rsidR="006B5D21" w:rsidRPr="009865E2" w:rsidRDefault="006B5D21" w:rsidP="006B5D21">
            <w:pPr>
              <w:widowControl w:val="0"/>
              <w:ind w:left="0" w:firstLine="0"/>
              <w:contextualSpacing w:val="0"/>
              <w:rPr>
                <w:rFonts w:ascii="Arial" w:hAnsi="Arial" w:cs="Arial"/>
                <w:bCs/>
                <w:color w:val="000000" w:themeColor="text1"/>
                <w:sz w:val="22"/>
                <w:szCs w:val="22"/>
              </w:rPr>
            </w:pPr>
            <w:r w:rsidRPr="009865E2">
              <w:rPr>
                <w:rFonts w:ascii="Arial" w:hAnsi="Arial" w:cs="Arial"/>
                <w:bCs/>
                <w:color w:val="000000" w:themeColor="text1"/>
                <w:sz w:val="22"/>
                <w:szCs w:val="22"/>
              </w:rPr>
              <w:t xml:space="preserve">Article 41: </w:t>
            </w:r>
            <w:r w:rsidRPr="009865E2">
              <w:rPr>
                <w:rFonts w:ascii="Arial" w:hAnsi="Arial" w:cs="Arial"/>
                <w:color w:val="000000" w:themeColor="text1"/>
                <w:sz w:val="22"/>
                <w:szCs w:val="22"/>
              </w:rPr>
              <w:t xml:space="preserve">Registration of Co-owned Immovable Properties    </w:t>
            </w:r>
          </w:p>
          <w:p w14:paraId="4A9BEA9E" w14:textId="77777777" w:rsidR="006B5D21" w:rsidRDefault="006B5D21" w:rsidP="006B5D21">
            <w:pPr>
              <w:widowControl w:val="0"/>
              <w:ind w:left="0" w:firstLine="0"/>
              <w:contextualSpacing w:val="0"/>
              <w:rPr>
                <w:rFonts w:ascii="Arial" w:hAnsi="Arial" w:cs="Arial"/>
                <w:color w:val="000000" w:themeColor="text1"/>
                <w:sz w:val="22"/>
                <w:szCs w:val="22"/>
              </w:rPr>
            </w:pPr>
            <w:r w:rsidRPr="009865E2">
              <w:rPr>
                <w:rFonts w:ascii="Arial" w:hAnsi="Arial" w:cs="Arial"/>
                <w:color w:val="000000" w:themeColor="text1"/>
                <w:sz w:val="22"/>
                <w:szCs w:val="22"/>
              </w:rPr>
              <w:t>2. If a property which is subject-matter of a property transfer contract made in favour of natural persons who, according to the civil status register are married, has been acquired during marriage in accordance with Article 76 of the Family Code, the registration in the appropriate section of the folder shall indicate that the property is co-owned by both spouses.</w:t>
            </w:r>
          </w:p>
          <w:p w14:paraId="5A848710" w14:textId="77777777" w:rsidR="006B5D21" w:rsidRPr="005F4D3C" w:rsidRDefault="006B5D21" w:rsidP="006B5D21">
            <w:pPr>
              <w:widowControl w:val="0"/>
              <w:ind w:left="0" w:firstLine="0"/>
              <w:contextualSpacing w:val="0"/>
              <w:rPr>
                <w:rFonts w:ascii="Arial" w:hAnsi="Arial" w:cs="Arial"/>
                <w:color w:val="000000" w:themeColor="text1"/>
                <w:sz w:val="22"/>
                <w:szCs w:val="22"/>
              </w:rPr>
            </w:pPr>
          </w:p>
          <w:p w14:paraId="293E5E96" w14:textId="77777777" w:rsidR="006B5D21" w:rsidRPr="005F4D3C" w:rsidRDefault="006B5D21" w:rsidP="006B5D21">
            <w:pPr>
              <w:widowControl w:val="0"/>
              <w:ind w:left="0" w:firstLine="0"/>
              <w:contextualSpacing w:val="0"/>
              <w:rPr>
                <w:rFonts w:ascii="Arial" w:hAnsi="Arial" w:cs="Arial"/>
                <w:color w:val="000000" w:themeColor="text1"/>
                <w:sz w:val="22"/>
                <w:szCs w:val="22"/>
              </w:rPr>
            </w:pPr>
            <w:r w:rsidRPr="009865E2">
              <w:rPr>
                <w:rFonts w:ascii="Arial" w:hAnsi="Arial" w:cs="Arial"/>
                <w:b/>
                <w:color w:val="000000" w:themeColor="text1"/>
                <w:sz w:val="22"/>
                <w:szCs w:val="22"/>
              </w:rPr>
              <w:t>SERBIA</w:t>
            </w:r>
          </w:p>
          <w:p w14:paraId="58BF57F0" w14:textId="77777777" w:rsidR="006B5D21" w:rsidRPr="009865E2" w:rsidRDefault="006B5D21" w:rsidP="006B5D21">
            <w:pPr>
              <w:widowControl w:val="0"/>
              <w:ind w:left="0" w:firstLine="0"/>
              <w:contextualSpacing w:val="0"/>
              <w:rPr>
                <w:rFonts w:ascii="Arial" w:hAnsi="Arial" w:cs="Arial"/>
                <w:b/>
                <w:color w:val="000000" w:themeColor="text1"/>
                <w:sz w:val="22"/>
                <w:szCs w:val="22"/>
              </w:rPr>
            </w:pPr>
            <w:r w:rsidRPr="009865E2">
              <w:rPr>
                <w:rFonts w:ascii="Arial" w:hAnsi="Arial" w:cs="Arial"/>
                <w:b/>
                <w:color w:val="000000" w:themeColor="text1"/>
                <w:sz w:val="22"/>
                <w:szCs w:val="22"/>
              </w:rPr>
              <w:t>The Family Law, (No. 18/2005, 72/2001 – other law, and 6/2015)</w:t>
            </w:r>
            <w:r w:rsidRPr="009865E2">
              <w:rPr>
                <w:rFonts w:ascii="Arial" w:hAnsi="Arial" w:cs="Arial"/>
                <w:color w:val="000000" w:themeColor="text1"/>
                <w:sz w:val="22"/>
                <w:szCs w:val="22"/>
                <w:lang w:val="en-AU"/>
              </w:rPr>
              <w:t xml:space="preserve"> </w:t>
            </w:r>
          </w:p>
          <w:p w14:paraId="3F9D7BE9" w14:textId="77777777" w:rsidR="006B5D21" w:rsidRPr="009865E2" w:rsidRDefault="006B5D21" w:rsidP="006B5D21">
            <w:pPr>
              <w:widowControl w:val="0"/>
              <w:ind w:left="0" w:firstLine="0"/>
              <w:contextualSpacing w:val="0"/>
              <w:rPr>
                <w:rFonts w:ascii="Arial" w:hAnsi="Arial" w:cs="Arial"/>
                <w:color w:val="000000" w:themeColor="text1"/>
                <w:sz w:val="22"/>
                <w:szCs w:val="22"/>
              </w:rPr>
            </w:pPr>
            <w:r w:rsidRPr="009865E2">
              <w:rPr>
                <w:rFonts w:ascii="Arial" w:hAnsi="Arial" w:cs="Arial"/>
                <w:color w:val="000000" w:themeColor="text1"/>
                <w:sz w:val="22"/>
                <w:szCs w:val="22"/>
              </w:rPr>
              <w:t>Article 171: The property that spouses have acquired by work during their cohabitation in marriage shall be their joint property (community of property).</w:t>
            </w:r>
          </w:p>
          <w:p w14:paraId="17A77ECD" w14:textId="77777777" w:rsidR="006B5D21" w:rsidRPr="009865E2" w:rsidRDefault="006B5D21" w:rsidP="006B5D21">
            <w:pPr>
              <w:widowControl w:val="0"/>
              <w:ind w:left="0" w:firstLine="0"/>
              <w:contextualSpacing w:val="0"/>
              <w:rPr>
                <w:rFonts w:ascii="Arial" w:hAnsi="Arial" w:cs="Arial"/>
                <w:color w:val="000000" w:themeColor="text1"/>
                <w:sz w:val="22"/>
                <w:szCs w:val="22"/>
              </w:rPr>
            </w:pPr>
            <w:r w:rsidRPr="009865E2">
              <w:rPr>
                <w:rFonts w:ascii="Arial" w:hAnsi="Arial" w:cs="Arial"/>
                <w:color w:val="000000" w:themeColor="text1"/>
                <w:sz w:val="22"/>
                <w:szCs w:val="22"/>
              </w:rPr>
              <w:t xml:space="preserve">Article 176: It shall be considered that spouses performed division of joint property if </w:t>
            </w:r>
            <w:r w:rsidRPr="009865E2">
              <w:rPr>
                <w:rFonts w:ascii="Arial" w:hAnsi="Arial" w:cs="Arial"/>
                <w:color w:val="000000" w:themeColor="text1"/>
                <w:sz w:val="22"/>
                <w:szCs w:val="22"/>
              </w:rPr>
              <w:lastRenderedPageBreak/>
              <w:t xml:space="preserve">they both registered as co-owners with determined (defined) shares in the public record of immovable property. </w:t>
            </w:r>
          </w:p>
          <w:p w14:paraId="0FB83A32" w14:textId="77777777" w:rsidR="006B5D21" w:rsidRPr="009865E2" w:rsidRDefault="006B5D21" w:rsidP="006B5D21">
            <w:pPr>
              <w:widowControl w:val="0"/>
              <w:ind w:left="0" w:firstLine="0"/>
              <w:contextualSpacing w:val="0"/>
              <w:rPr>
                <w:rFonts w:ascii="Arial" w:hAnsi="Arial" w:cs="Arial"/>
                <w:color w:val="000000" w:themeColor="text1"/>
                <w:sz w:val="22"/>
                <w:szCs w:val="22"/>
              </w:rPr>
            </w:pPr>
            <w:r w:rsidRPr="009865E2">
              <w:rPr>
                <w:rFonts w:ascii="Arial" w:hAnsi="Arial" w:cs="Arial"/>
                <w:color w:val="000000" w:themeColor="text1"/>
                <w:sz w:val="22"/>
                <w:szCs w:val="22"/>
              </w:rPr>
              <w:t>It shall be considered that registration in the public record of immovable property has been considered to be made for both spouses even when only one spouse is entered, unless after the registration spouses make written agreement on division of joint property or their rights on immovable property are decided by the court.</w:t>
            </w:r>
          </w:p>
          <w:p w14:paraId="299D3ABA" w14:textId="77777777" w:rsidR="006B5D21" w:rsidRPr="009865E2" w:rsidRDefault="006B5D21" w:rsidP="006B5D21">
            <w:pPr>
              <w:widowControl w:val="0"/>
              <w:ind w:left="0" w:firstLine="0"/>
              <w:contextualSpacing w:val="0"/>
              <w:rPr>
                <w:rFonts w:ascii="Arial" w:hAnsi="Arial" w:cs="Arial"/>
                <w:color w:val="000000" w:themeColor="text1"/>
                <w:sz w:val="22"/>
                <w:szCs w:val="22"/>
              </w:rPr>
            </w:pPr>
          </w:p>
          <w:p w14:paraId="0FE2ABA5" w14:textId="77777777" w:rsidR="006B5D21" w:rsidRPr="009865E2" w:rsidRDefault="006B5D21" w:rsidP="006B5D21">
            <w:pPr>
              <w:widowControl w:val="0"/>
              <w:ind w:left="0" w:firstLine="0"/>
              <w:contextualSpacing w:val="0"/>
              <w:rPr>
                <w:rFonts w:ascii="Arial" w:hAnsi="Arial" w:cs="Arial"/>
                <w:b/>
                <w:color w:val="000000" w:themeColor="text1"/>
                <w:sz w:val="22"/>
                <w:szCs w:val="22"/>
              </w:rPr>
            </w:pPr>
            <w:r w:rsidRPr="009865E2">
              <w:rPr>
                <w:rFonts w:ascii="Arial" w:hAnsi="Arial" w:cs="Arial"/>
                <w:b/>
                <w:color w:val="000000" w:themeColor="text1"/>
                <w:sz w:val="22"/>
                <w:szCs w:val="22"/>
              </w:rPr>
              <w:t>Law on State Survey and Cadaster (No. 72/2009, 18/2010, 65/2013, 15/2015)</w:t>
            </w:r>
          </w:p>
          <w:p w14:paraId="05DF83A8" w14:textId="77777777" w:rsidR="006B5D21" w:rsidRPr="009865E2" w:rsidRDefault="006B5D21" w:rsidP="006B5D21">
            <w:pPr>
              <w:widowControl w:val="0"/>
              <w:ind w:left="0" w:firstLine="0"/>
              <w:contextualSpacing w:val="0"/>
              <w:rPr>
                <w:rFonts w:ascii="Arial" w:hAnsi="Arial" w:cs="Arial"/>
                <w:color w:val="000000" w:themeColor="text1"/>
                <w:sz w:val="22"/>
                <w:szCs w:val="22"/>
              </w:rPr>
            </w:pPr>
            <w:r w:rsidRPr="009865E2">
              <w:rPr>
                <w:rFonts w:ascii="Arial" w:hAnsi="Arial" w:cs="Arial"/>
                <w:color w:val="000000" w:themeColor="text1"/>
                <w:sz w:val="22"/>
                <w:szCs w:val="22"/>
              </w:rPr>
              <w:t xml:space="preserve">Article 61(11): A holder of immovable property shall apply for registration of immovable property and ownership in the cadaster. </w:t>
            </w:r>
          </w:p>
          <w:p w14:paraId="6ACA65AC" w14:textId="77777777" w:rsidR="006B5D21" w:rsidRPr="009865E2" w:rsidRDefault="006B5D21" w:rsidP="006B5D21">
            <w:pPr>
              <w:widowControl w:val="0"/>
              <w:ind w:left="0" w:firstLine="0"/>
              <w:contextualSpacing w:val="0"/>
              <w:rPr>
                <w:rFonts w:ascii="Arial" w:hAnsi="Arial" w:cs="Arial"/>
                <w:color w:val="000000" w:themeColor="text1"/>
                <w:sz w:val="22"/>
                <w:szCs w:val="22"/>
              </w:rPr>
            </w:pPr>
            <w:r w:rsidRPr="009865E2">
              <w:rPr>
                <w:rFonts w:ascii="Arial" w:hAnsi="Arial" w:cs="Arial"/>
                <w:color w:val="000000" w:themeColor="text1"/>
                <w:sz w:val="22"/>
                <w:szCs w:val="22"/>
              </w:rPr>
              <w:t>Article 76: Ownership rights shall be registered in favor of the sole owner of the whole immovable property.</w:t>
            </w:r>
          </w:p>
          <w:p w14:paraId="71AB66AD" w14:textId="77777777" w:rsidR="006B5D21" w:rsidRPr="009865E2" w:rsidRDefault="006B5D21" w:rsidP="006B5D21">
            <w:pPr>
              <w:widowControl w:val="0"/>
              <w:ind w:left="0" w:firstLine="0"/>
              <w:contextualSpacing w:val="0"/>
              <w:rPr>
                <w:rFonts w:ascii="Arial" w:hAnsi="Arial" w:cs="Arial"/>
                <w:color w:val="000000" w:themeColor="text1"/>
                <w:sz w:val="22"/>
                <w:szCs w:val="22"/>
              </w:rPr>
            </w:pPr>
            <w:r w:rsidRPr="009865E2">
              <w:rPr>
                <w:rFonts w:ascii="Arial" w:hAnsi="Arial" w:cs="Arial"/>
                <w:color w:val="000000" w:themeColor="text1"/>
                <w:sz w:val="22"/>
                <w:szCs w:val="22"/>
              </w:rPr>
              <w:t xml:space="preserve">Right to co-ownership shall be registered by shares determined with respect to the whole immovable property. </w:t>
            </w:r>
          </w:p>
          <w:p w14:paraId="578EE9F7" w14:textId="77777777" w:rsidR="006B5D21" w:rsidRPr="009865E2" w:rsidRDefault="006B5D21" w:rsidP="006B5D21">
            <w:pPr>
              <w:widowControl w:val="0"/>
              <w:ind w:left="0" w:firstLine="0"/>
              <w:contextualSpacing w:val="0"/>
              <w:rPr>
                <w:rFonts w:ascii="Arial" w:hAnsi="Arial" w:cs="Arial"/>
                <w:color w:val="000000" w:themeColor="text1"/>
                <w:sz w:val="22"/>
                <w:szCs w:val="22"/>
              </w:rPr>
            </w:pPr>
            <w:r w:rsidRPr="009865E2">
              <w:rPr>
                <w:rFonts w:ascii="Arial" w:hAnsi="Arial" w:cs="Arial"/>
                <w:color w:val="000000" w:themeColor="text1"/>
                <w:sz w:val="22"/>
                <w:szCs w:val="22"/>
              </w:rPr>
              <w:t>Joint ownership shall be registered in the name of all joint owners.</w:t>
            </w:r>
          </w:p>
          <w:p w14:paraId="20B290F5" w14:textId="77777777" w:rsidR="006B5D21" w:rsidRPr="009865E2" w:rsidRDefault="006B5D21" w:rsidP="006B5D21">
            <w:pPr>
              <w:widowControl w:val="0"/>
              <w:ind w:left="0" w:firstLine="0"/>
              <w:contextualSpacing w:val="0"/>
              <w:rPr>
                <w:rFonts w:ascii="Arial" w:hAnsi="Arial" w:cs="Arial"/>
                <w:color w:val="000000" w:themeColor="text1"/>
                <w:sz w:val="22"/>
                <w:szCs w:val="22"/>
              </w:rPr>
            </w:pPr>
          </w:p>
          <w:p w14:paraId="7D6FD3E0" w14:textId="77777777" w:rsidR="006B5D21" w:rsidRPr="009865E2" w:rsidRDefault="006B5D21" w:rsidP="006B5D21">
            <w:pPr>
              <w:widowControl w:val="0"/>
              <w:ind w:left="0" w:firstLine="0"/>
              <w:contextualSpacing w:val="0"/>
              <w:rPr>
                <w:rFonts w:ascii="Arial" w:hAnsi="Arial" w:cs="Arial"/>
                <w:b/>
                <w:color w:val="000000" w:themeColor="text1"/>
                <w:sz w:val="22"/>
                <w:szCs w:val="22"/>
              </w:rPr>
            </w:pPr>
            <w:r w:rsidRPr="009865E2">
              <w:rPr>
                <w:rFonts w:ascii="Arial" w:hAnsi="Arial" w:cs="Arial"/>
                <w:b/>
                <w:color w:val="000000" w:themeColor="text1"/>
                <w:sz w:val="22"/>
                <w:szCs w:val="22"/>
              </w:rPr>
              <w:t>Rule-book on the amount of fees for the Republic Geodetic Authority services, 2017</w:t>
            </w:r>
          </w:p>
          <w:p w14:paraId="46204684" w14:textId="77777777" w:rsidR="006B5D21" w:rsidRPr="009865E2" w:rsidRDefault="006B5D21" w:rsidP="006B5D21">
            <w:pPr>
              <w:widowControl w:val="0"/>
              <w:ind w:left="0" w:firstLine="0"/>
              <w:contextualSpacing w:val="0"/>
              <w:rPr>
                <w:rFonts w:ascii="Arial" w:hAnsi="Arial" w:cs="Arial"/>
                <w:color w:val="000000" w:themeColor="text1"/>
                <w:sz w:val="22"/>
                <w:szCs w:val="22"/>
              </w:rPr>
            </w:pPr>
            <w:r w:rsidRPr="009865E2">
              <w:rPr>
                <w:rFonts w:ascii="Arial" w:hAnsi="Arial" w:cs="Arial"/>
                <w:color w:val="000000" w:themeColor="text1"/>
                <w:sz w:val="22"/>
                <w:szCs w:val="22"/>
              </w:rPr>
              <w:t xml:space="preserve">Tariff number 9. </w:t>
            </w:r>
          </w:p>
          <w:p w14:paraId="5F3DFF75" w14:textId="77777777" w:rsidR="006B5D21" w:rsidRPr="009865E2" w:rsidRDefault="006B5D21" w:rsidP="006B5D21">
            <w:pPr>
              <w:widowControl w:val="0"/>
              <w:ind w:left="0" w:firstLine="0"/>
              <w:contextualSpacing w:val="0"/>
              <w:rPr>
                <w:rFonts w:ascii="Arial" w:hAnsi="Arial" w:cs="Arial"/>
                <w:color w:val="000000" w:themeColor="text1"/>
                <w:sz w:val="22"/>
                <w:szCs w:val="22"/>
              </w:rPr>
            </w:pPr>
            <w:r w:rsidRPr="009865E2">
              <w:rPr>
                <w:rFonts w:ascii="Arial" w:hAnsi="Arial" w:cs="Arial"/>
                <w:color w:val="000000" w:themeColor="text1"/>
                <w:sz w:val="22"/>
                <w:szCs w:val="22"/>
              </w:rPr>
              <w:t>Section: Registration of changes in the real estate cadastre database</w:t>
            </w:r>
          </w:p>
          <w:p w14:paraId="687E0C9C" w14:textId="77777777" w:rsidR="006B5D21" w:rsidRPr="009865E2" w:rsidRDefault="006B5D21" w:rsidP="006B5D21">
            <w:pPr>
              <w:widowControl w:val="0"/>
              <w:ind w:left="0" w:firstLine="0"/>
              <w:contextualSpacing w:val="0"/>
              <w:rPr>
                <w:rFonts w:ascii="Arial" w:hAnsi="Arial" w:cs="Arial"/>
                <w:color w:val="000000" w:themeColor="text1"/>
                <w:sz w:val="22"/>
                <w:szCs w:val="22"/>
              </w:rPr>
            </w:pPr>
            <w:r w:rsidRPr="009865E2">
              <w:rPr>
                <w:rFonts w:ascii="Arial" w:hAnsi="Arial" w:cs="Arial"/>
                <w:color w:val="000000" w:themeColor="text1"/>
                <w:sz w:val="22"/>
                <w:szCs w:val="22"/>
              </w:rPr>
              <w:t>Para 5: Registration of the object or separate part of the object in the name of the owner […] 4500 RSD.</w:t>
            </w:r>
          </w:p>
          <w:p w14:paraId="46B6A619" w14:textId="77777777" w:rsidR="006B5D21" w:rsidRPr="009865E2" w:rsidRDefault="006B5D21" w:rsidP="006B5D21">
            <w:pPr>
              <w:widowControl w:val="0"/>
              <w:ind w:left="0" w:firstLine="0"/>
              <w:contextualSpacing w:val="0"/>
              <w:rPr>
                <w:rFonts w:ascii="Arial" w:hAnsi="Arial" w:cs="Arial"/>
                <w:color w:val="000000" w:themeColor="text1"/>
                <w:sz w:val="22"/>
                <w:szCs w:val="22"/>
              </w:rPr>
            </w:pPr>
            <w:r w:rsidRPr="009865E2">
              <w:rPr>
                <w:rFonts w:ascii="Arial" w:hAnsi="Arial" w:cs="Arial"/>
                <w:color w:val="000000" w:themeColor="text1"/>
                <w:sz w:val="22"/>
                <w:szCs w:val="22"/>
              </w:rPr>
              <w:t>Para 6: Registration of the object or separate part of the object as joint or co-owned property in the name of both spouses or common-law partners or persons with disabilities […] 300 RSD.</w:t>
            </w:r>
          </w:p>
          <w:p w14:paraId="680ED65C" w14:textId="77777777" w:rsidR="006B5D21" w:rsidRDefault="006B5D21" w:rsidP="006B5D21">
            <w:pPr>
              <w:widowControl w:val="0"/>
              <w:ind w:left="0" w:firstLine="0"/>
              <w:contextualSpacing w:val="0"/>
              <w:rPr>
                <w:rFonts w:ascii="Arial" w:hAnsi="Arial" w:cs="Arial"/>
                <w:color w:val="000000" w:themeColor="text1"/>
                <w:sz w:val="22"/>
                <w:szCs w:val="22"/>
              </w:rPr>
            </w:pPr>
            <w:r w:rsidRPr="009865E2">
              <w:rPr>
                <w:rFonts w:ascii="Arial" w:hAnsi="Arial" w:cs="Arial"/>
                <w:color w:val="000000" w:themeColor="text1"/>
                <w:sz w:val="22"/>
                <w:szCs w:val="22"/>
              </w:rPr>
              <w:t>Para 12a: Registration of changes in ownership – registration of immovable property as joint or co-owned in the name of both spouses or common-law partners or persons with disabilities […] 300 RSD.</w:t>
            </w:r>
          </w:p>
          <w:p w14:paraId="1C4279FD" w14:textId="77777777" w:rsidR="006B5D21" w:rsidRPr="0018618A" w:rsidRDefault="006B5D21" w:rsidP="006B5D21">
            <w:pPr>
              <w:widowControl w:val="0"/>
              <w:ind w:left="0" w:firstLine="0"/>
              <w:contextualSpacing w:val="0"/>
              <w:rPr>
                <w:rFonts w:ascii="Arial" w:hAnsi="Arial" w:cs="Arial"/>
                <w:color w:val="000000" w:themeColor="text1"/>
                <w:sz w:val="22"/>
                <w:szCs w:val="22"/>
                <w:lang w:val="fr-FR"/>
              </w:rPr>
            </w:pPr>
          </w:p>
        </w:tc>
      </w:tr>
    </w:tbl>
    <w:p w14:paraId="0E82E167" w14:textId="77777777" w:rsidR="009865E2" w:rsidRDefault="009865E2">
      <w:pPr>
        <w:widowControl w:val="0"/>
        <w:ind w:left="0" w:firstLine="0"/>
        <w:contextualSpacing w:val="0"/>
        <w:rPr>
          <w:rFonts w:ascii="Arial" w:hAnsi="Arial" w:cs="Arial"/>
          <w:color w:val="000000" w:themeColor="text1"/>
          <w:sz w:val="22"/>
          <w:szCs w:val="22"/>
        </w:rPr>
      </w:pPr>
    </w:p>
    <w:p w14:paraId="4E0DDCD2" w14:textId="77777777" w:rsidR="00A236C8" w:rsidRDefault="00A236C8">
      <w:pPr>
        <w:widowControl w:val="0"/>
        <w:ind w:left="0" w:firstLine="0"/>
        <w:contextualSpacing w:val="0"/>
        <w:rPr>
          <w:rFonts w:ascii="Arial" w:hAnsi="Arial" w:cs="Arial"/>
          <w:color w:val="000000" w:themeColor="text1"/>
          <w:sz w:val="22"/>
          <w:szCs w:val="22"/>
        </w:rPr>
      </w:pPr>
    </w:p>
    <w:p w14:paraId="04DD4B2B" w14:textId="77777777" w:rsidR="006B5D21" w:rsidRDefault="006B5D21">
      <w:pPr>
        <w:widowControl w:val="0"/>
        <w:ind w:left="0" w:firstLine="0"/>
        <w:contextualSpacing w:val="0"/>
        <w:rPr>
          <w:rFonts w:ascii="Arial" w:hAnsi="Arial" w:cs="Arial"/>
          <w:color w:val="000000" w:themeColor="text1"/>
          <w:sz w:val="22"/>
          <w:szCs w:val="22"/>
        </w:rPr>
      </w:pPr>
    </w:p>
    <w:p w14:paraId="38997328" w14:textId="77777777" w:rsidR="006B5D21" w:rsidRDefault="006B5D21">
      <w:pPr>
        <w:widowControl w:val="0"/>
        <w:ind w:left="0" w:firstLine="0"/>
        <w:contextualSpacing w:val="0"/>
        <w:rPr>
          <w:rFonts w:ascii="Arial" w:hAnsi="Arial" w:cs="Arial"/>
          <w:color w:val="000000" w:themeColor="text1"/>
          <w:sz w:val="22"/>
          <w:szCs w:val="22"/>
        </w:rPr>
      </w:pPr>
    </w:p>
    <w:p w14:paraId="71E3AAC2" w14:textId="77777777" w:rsidR="006B5D21" w:rsidRDefault="006B5D21">
      <w:pPr>
        <w:widowControl w:val="0"/>
        <w:ind w:left="0" w:firstLine="0"/>
        <w:contextualSpacing w:val="0"/>
        <w:rPr>
          <w:rFonts w:ascii="Arial" w:hAnsi="Arial" w:cs="Arial"/>
          <w:color w:val="000000" w:themeColor="text1"/>
          <w:sz w:val="22"/>
          <w:szCs w:val="22"/>
        </w:rPr>
      </w:pPr>
    </w:p>
    <w:p w14:paraId="461ABD87" w14:textId="77777777" w:rsidR="006B5D21" w:rsidRDefault="006B5D21">
      <w:pPr>
        <w:widowControl w:val="0"/>
        <w:ind w:left="0" w:firstLine="0"/>
        <w:contextualSpacing w:val="0"/>
        <w:rPr>
          <w:rFonts w:ascii="Arial" w:hAnsi="Arial" w:cs="Arial"/>
          <w:color w:val="000000" w:themeColor="text1"/>
          <w:sz w:val="22"/>
          <w:szCs w:val="22"/>
        </w:rPr>
      </w:pPr>
    </w:p>
    <w:p w14:paraId="0AE5B0FF" w14:textId="77777777" w:rsidR="006B5D21" w:rsidRDefault="006B5D21">
      <w:pPr>
        <w:widowControl w:val="0"/>
        <w:ind w:left="0" w:firstLine="0"/>
        <w:contextualSpacing w:val="0"/>
        <w:rPr>
          <w:rFonts w:ascii="Arial" w:hAnsi="Arial" w:cs="Arial"/>
          <w:color w:val="000000" w:themeColor="text1"/>
          <w:sz w:val="22"/>
          <w:szCs w:val="22"/>
        </w:rPr>
      </w:pPr>
    </w:p>
    <w:p w14:paraId="28C3EF05" w14:textId="77777777" w:rsidR="006B5D21" w:rsidRDefault="006B5D21">
      <w:pPr>
        <w:widowControl w:val="0"/>
        <w:ind w:left="0" w:firstLine="0"/>
        <w:contextualSpacing w:val="0"/>
        <w:rPr>
          <w:rFonts w:ascii="Arial" w:hAnsi="Arial" w:cs="Arial"/>
          <w:color w:val="000000" w:themeColor="text1"/>
          <w:sz w:val="22"/>
          <w:szCs w:val="22"/>
        </w:rPr>
      </w:pPr>
    </w:p>
    <w:p w14:paraId="7FB5581F" w14:textId="77777777" w:rsidR="006B5D21" w:rsidRDefault="006B5D21">
      <w:pPr>
        <w:widowControl w:val="0"/>
        <w:ind w:left="0" w:firstLine="0"/>
        <w:contextualSpacing w:val="0"/>
        <w:rPr>
          <w:rFonts w:ascii="Arial" w:hAnsi="Arial" w:cs="Arial"/>
          <w:color w:val="000000" w:themeColor="text1"/>
          <w:sz w:val="22"/>
          <w:szCs w:val="22"/>
        </w:rPr>
      </w:pPr>
    </w:p>
    <w:p w14:paraId="6B029E23" w14:textId="77777777" w:rsidR="006B5D21" w:rsidRDefault="006B5D21">
      <w:pPr>
        <w:widowControl w:val="0"/>
        <w:ind w:left="0" w:firstLine="0"/>
        <w:contextualSpacing w:val="0"/>
        <w:rPr>
          <w:rFonts w:ascii="Arial" w:hAnsi="Arial" w:cs="Arial"/>
          <w:color w:val="000000" w:themeColor="text1"/>
          <w:sz w:val="22"/>
          <w:szCs w:val="22"/>
        </w:rPr>
      </w:pPr>
    </w:p>
    <w:p w14:paraId="5E798EBD" w14:textId="77777777" w:rsidR="006B5D21" w:rsidRDefault="006B5D21">
      <w:pPr>
        <w:widowControl w:val="0"/>
        <w:ind w:left="0" w:firstLine="0"/>
        <w:contextualSpacing w:val="0"/>
        <w:rPr>
          <w:rFonts w:ascii="Arial" w:hAnsi="Arial" w:cs="Arial"/>
          <w:color w:val="000000" w:themeColor="text1"/>
          <w:sz w:val="22"/>
          <w:szCs w:val="22"/>
        </w:rPr>
      </w:pPr>
    </w:p>
    <w:p w14:paraId="7865C365" w14:textId="77777777" w:rsidR="006B5D21" w:rsidRDefault="006B5D21">
      <w:pPr>
        <w:widowControl w:val="0"/>
        <w:ind w:left="0" w:firstLine="0"/>
        <w:contextualSpacing w:val="0"/>
        <w:rPr>
          <w:rFonts w:ascii="Arial" w:hAnsi="Arial" w:cs="Arial"/>
          <w:color w:val="000000" w:themeColor="text1"/>
          <w:sz w:val="22"/>
          <w:szCs w:val="22"/>
        </w:rPr>
      </w:pPr>
    </w:p>
    <w:p w14:paraId="7305F89E" w14:textId="77777777" w:rsidR="006B5D21" w:rsidRDefault="006B5D21">
      <w:pPr>
        <w:widowControl w:val="0"/>
        <w:ind w:left="0" w:firstLine="0"/>
        <w:contextualSpacing w:val="0"/>
        <w:rPr>
          <w:rFonts w:ascii="Arial" w:hAnsi="Arial" w:cs="Arial"/>
          <w:color w:val="000000" w:themeColor="text1"/>
          <w:sz w:val="22"/>
          <w:szCs w:val="22"/>
        </w:rPr>
      </w:pPr>
    </w:p>
    <w:p w14:paraId="471FBA36" w14:textId="77777777" w:rsidR="006B5D21" w:rsidRDefault="006B5D21">
      <w:pPr>
        <w:widowControl w:val="0"/>
        <w:ind w:left="0" w:firstLine="0"/>
        <w:contextualSpacing w:val="0"/>
        <w:rPr>
          <w:rFonts w:ascii="Arial" w:hAnsi="Arial" w:cs="Arial"/>
          <w:color w:val="000000" w:themeColor="text1"/>
          <w:sz w:val="22"/>
          <w:szCs w:val="22"/>
        </w:rPr>
      </w:pPr>
    </w:p>
    <w:p w14:paraId="27378A5A" w14:textId="77777777" w:rsidR="006B5D21" w:rsidRDefault="006B5D21">
      <w:pPr>
        <w:widowControl w:val="0"/>
        <w:ind w:left="0" w:firstLine="0"/>
        <w:contextualSpacing w:val="0"/>
        <w:rPr>
          <w:rFonts w:ascii="Arial" w:hAnsi="Arial" w:cs="Arial"/>
          <w:color w:val="000000" w:themeColor="text1"/>
          <w:sz w:val="22"/>
          <w:szCs w:val="22"/>
        </w:rPr>
      </w:pPr>
    </w:p>
    <w:p w14:paraId="18C36548" w14:textId="77777777" w:rsidR="006B5D21" w:rsidRDefault="006B5D21">
      <w:pPr>
        <w:widowControl w:val="0"/>
        <w:ind w:left="0" w:firstLine="0"/>
        <w:contextualSpacing w:val="0"/>
        <w:rPr>
          <w:rFonts w:ascii="Arial" w:hAnsi="Arial" w:cs="Arial"/>
          <w:color w:val="000000" w:themeColor="text1"/>
          <w:sz w:val="22"/>
          <w:szCs w:val="22"/>
        </w:rPr>
      </w:pPr>
    </w:p>
    <w:p w14:paraId="1B1132AE" w14:textId="77777777" w:rsidR="006B5D21" w:rsidRDefault="006B5D21">
      <w:pPr>
        <w:widowControl w:val="0"/>
        <w:ind w:left="0" w:firstLine="0"/>
        <w:contextualSpacing w:val="0"/>
        <w:rPr>
          <w:rFonts w:ascii="Arial" w:hAnsi="Arial" w:cs="Arial"/>
          <w:color w:val="000000" w:themeColor="text1"/>
          <w:sz w:val="22"/>
          <w:szCs w:val="22"/>
        </w:rPr>
      </w:pPr>
    </w:p>
    <w:p w14:paraId="7DD20789" w14:textId="77777777" w:rsidR="006B5D21" w:rsidRDefault="006B5D21">
      <w:pPr>
        <w:widowControl w:val="0"/>
        <w:ind w:left="0" w:firstLine="0"/>
        <w:contextualSpacing w:val="0"/>
        <w:rPr>
          <w:rFonts w:ascii="Arial" w:hAnsi="Arial" w:cs="Arial"/>
          <w:color w:val="000000" w:themeColor="text1"/>
          <w:sz w:val="22"/>
          <w:szCs w:val="22"/>
        </w:rPr>
      </w:pPr>
    </w:p>
    <w:p w14:paraId="7D781A29" w14:textId="77777777" w:rsidR="006B5D21" w:rsidRDefault="006B5D21">
      <w:pPr>
        <w:widowControl w:val="0"/>
        <w:ind w:left="0" w:firstLine="0"/>
        <w:contextualSpacing w:val="0"/>
        <w:rPr>
          <w:rFonts w:ascii="Arial" w:hAnsi="Arial" w:cs="Arial"/>
          <w:color w:val="000000" w:themeColor="text1"/>
          <w:sz w:val="22"/>
          <w:szCs w:val="22"/>
        </w:rPr>
      </w:pPr>
    </w:p>
    <w:p w14:paraId="03909FCB" w14:textId="77777777" w:rsidR="00D95BC3" w:rsidRDefault="00D95BC3">
      <w:pPr>
        <w:widowControl w:val="0"/>
        <w:ind w:left="0" w:firstLine="0"/>
        <w:contextualSpacing w:val="0"/>
        <w:rPr>
          <w:rFonts w:ascii="Arial" w:hAnsi="Arial" w:cs="Arial"/>
          <w:b/>
          <w:color w:val="5B9BD5" w:themeColor="accent1"/>
          <w:sz w:val="24"/>
          <w:szCs w:val="24"/>
        </w:rPr>
      </w:pPr>
    </w:p>
    <w:p w14:paraId="5E4EDCD3" w14:textId="77777777" w:rsidR="00D95BC3" w:rsidRDefault="00D95BC3">
      <w:pPr>
        <w:widowControl w:val="0"/>
        <w:ind w:left="0" w:firstLine="0"/>
        <w:contextualSpacing w:val="0"/>
        <w:rPr>
          <w:rFonts w:ascii="Arial" w:hAnsi="Arial" w:cs="Arial"/>
          <w:b/>
          <w:color w:val="5B9BD5" w:themeColor="accent1"/>
          <w:sz w:val="24"/>
          <w:szCs w:val="24"/>
        </w:rPr>
      </w:pPr>
    </w:p>
    <w:p w14:paraId="127A7FB2" w14:textId="77777777" w:rsidR="00D95BC3" w:rsidRDefault="00D95BC3">
      <w:pPr>
        <w:widowControl w:val="0"/>
        <w:ind w:left="0" w:firstLine="0"/>
        <w:contextualSpacing w:val="0"/>
        <w:rPr>
          <w:rFonts w:ascii="Arial" w:hAnsi="Arial" w:cs="Arial"/>
          <w:b/>
          <w:color w:val="5B9BD5" w:themeColor="accent1"/>
          <w:sz w:val="24"/>
          <w:szCs w:val="24"/>
        </w:rPr>
      </w:pPr>
    </w:p>
    <w:p w14:paraId="00817881" w14:textId="77777777" w:rsidR="00D95BC3" w:rsidRDefault="00D95BC3">
      <w:pPr>
        <w:widowControl w:val="0"/>
        <w:ind w:left="0" w:firstLine="0"/>
        <w:contextualSpacing w:val="0"/>
        <w:rPr>
          <w:rFonts w:ascii="Arial" w:hAnsi="Arial" w:cs="Arial"/>
          <w:b/>
          <w:color w:val="5B9BD5" w:themeColor="accent1"/>
          <w:sz w:val="24"/>
          <w:szCs w:val="24"/>
        </w:rPr>
      </w:pPr>
    </w:p>
    <w:p w14:paraId="01F8A01E" w14:textId="77777777" w:rsidR="00D95BC3" w:rsidRDefault="00D95BC3">
      <w:pPr>
        <w:widowControl w:val="0"/>
        <w:ind w:left="0" w:firstLine="0"/>
        <w:contextualSpacing w:val="0"/>
        <w:rPr>
          <w:rFonts w:ascii="Arial" w:hAnsi="Arial" w:cs="Arial"/>
          <w:b/>
          <w:color w:val="5B9BD5" w:themeColor="accent1"/>
          <w:sz w:val="24"/>
          <w:szCs w:val="24"/>
        </w:rPr>
      </w:pPr>
    </w:p>
    <w:p w14:paraId="3A235BAB" w14:textId="77777777" w:rsidR="00D95BC3" w:rsidRDefault="00D95BC3">
      <w:pPr>
        <w:widowControl w:val="0"/>
        <w:ind w:left="0" w:firstLine="0"/>
        <w:contextualSpacing w:val="0"/>
        <w:rPr>
          <w:rFonts w:ascii="Arial" w:hAnsi="Arial" w:cs="Arial"/>
          <w:b/>
          <w:color w:val="5B9BD5" w:themeColor="accent1"/>
          <w:sz w:val="24"/>
          <w:szCs w:val="24"/>
        </w:rPr>
      </w:pPr>
    </w:p>
    <w:p w14:paraId="79807A02" w14:textId="77777777" w:rsidR="00D95BC3" w:rsidRDefault="00D95BC3">
      <w:pPr>
        <w:widowControl w:val="0"/>
        <w:ind w:left="0" w:firstLine="0"/>
        <w:contextualSpacing w:val="0"/>
        <w:rPr>
          <w:rFonts w:ascii="Arial" w:hAnsi="Arial" w:cs="Arial"/>
          <w:b/>
          <w:color w:val="5B9BD5" w:themeColor="accent1"/>
          <w:sz w:val="24"/>
          <w:szCs w:val="24"/>
        </w:rPr>
      </w:pPr>
    </w:p>
    <w:p w14:paraId="50D589E0" w14:textId="77777777" w:rsidR="00D95BC3" w:rsidRDefault="00D95BC3">
      <w:pPr>
        <w:widowControl w:val="0"/>
        <w:ind w:left="0" w:firstLine="0"/>
        <w:contextualSpacing w:val="0"/>
        <w:rPr>
          <w:rFonts w:ascii="Arial" w:hAnsi="Arial" w:cs="Arial"/>
          <w:b/>
          <w:color w:val="5B9BD5" w:themeColor="accent1"/>
          <w:sz w:val="24"/>
          <w:szCs w:val="24"/>
        </w:rPr>
      </w:pPr>
    </w:p>
    <w:p w14:paraId="2B1726A0" w14:textId="77777777" w:rsidR="00D95BC3" w:rsidRDefault="00D95BC3">
      <w:pPr>
        <w:widowControl w:val="0"/>
        <w:ind w:left="0" w:firstLine="0"/>
        <w:contextualSpacing w:val="0"/>
        <w:rPr>
          <w:rFonts w:ascii="Arial" w:hAnsi="Arial" w:cs="Arial"/>
          <w:b/>
          <w:color w:val="5B9BD5" w:themeColor="accent1"/>
          <w:sz w:val="24"/>
          <w:szCs w:val="24"/>
        </w:rPr>
      </w:pPr>
    </w:p>
    <w:p w14:paraId="32319035" w14:textId="77777777" w:rsidR="00D95BC3" w:rsidRDefault="00D95BC3">
      <w:pPr>
        <w:widowControl w:val="0"/>
        <w:ind w:left="0" w:firstLine="0"/>
        <w:contextualSpacing w:val="0"/>
        <w:rPr>
          <w:rFonts w:ascii="Arial" w:hAnsi="Arial" w:cs="Arial"/>
          <w:b/>
          <w:color w:val="5B9BD5" w:themeColor="accent1"/>
          <w:sz w:val="24"/>
          <w:szCs w:val="24"/>
        </w:rPr>
      </w:pPr>
    </w:p>
    <w:p w14:paraId="3276110E" w14:textId="77777777" w:rsidR="00D95BC3" w:rsidRDefault="00D95BC3">
      <w:pPr>
        <w:widowControl w:val="0"/>
        <w:ind w:left="0" w:firstLine="0"/>
        <w:contextualSpacing w:val="0"/>
        <w:rPr>
          <w:rFonts w:ascii="Arial" w:hAnsi="Arial" w:cs="Arial"/>
          <w:b/>
          <w:color w:val="5B9BD5" w:themeColor="accent1"/>
          <w:sz w:val="24"/>
          <w:szCs w:val="24"/>
        </w:rPr>
      </w:pPr>
    </w:p>
    <w:p w14:paraId="76790AB8" w14:textId="77777777" w:rsidR="00D95BC3" w:rsidRDefault="00D95BC3">
      <w:pPr>
        <w:widowControl w:val="0"/>
        <w:ind w:left="0" w:firstLine="0"/>
        <w:contextualSpacing w:val="0"/>
        <w:rPr>
          <w:rFonts w:ascii="Arial" w:hAnsi="Arial" w:cs="Arial"/>
          <w:b/>
          <w:color w:val="5B9BD5" w:themeColor="accent1"/>
          <w:sz w:val="24"/>
          <w:szCs w:val="24"/>
        </w:rPr>
      </w:pPr>
    </w:p>
    <w:p w14:paraId="338382C0" w14:textId="77777777" w:rsidR="007C7A06" w:rsidRDefault="007C7A06">
      <w:pPr>
        <w:rPr>
          <w:rFonts w:ascii="Arial" w:hAnsi="Arial" w:cs="Arial"/>
          <w:b/>
          <w:color w:val="5B9BD5" w:themeColor="accent1"/>
          <w:sz w:val="24"/>
          <w:szCs w:val="24"/>
        </w:rPr>
      </w:pPr>
      <w:r>
        <w:rPr>
          <w:rFonts w:ascii="Arial" w:hAnsi="Arial" w:cs="Arial"/>
          <w:b/>
          <w:color w:val="5B9BD5" w:themeColor="accent1"/>
          <w:sz w:val="24"/>
          <w:szCs w:val="24"/>
        </w:rPr>
        <w:br w:type="page"/>
      </w:r>
    </w:p>
    <w:p w14:paraId="1C9D1D5F" w14:textId="31D7812E" w:rsidR="006B5D21" w:rsidRPr="006B5D21" w:rsidRDefault="006B5D21">
      <w:pPr>
        <w:widowControl w:val="0"/>
        <w:ind w:left="0" w:firstLine="0"/>
        <w:contextualSpacing w:val="0"/>
        <w:rPr>
          <w:rFonts w:ascii="Arial" w:hAnsi="Arial" w:cs="Arial"/>
          <w:b/>
          <w:color w:val="5B9BD5" w:themeColor="accent1"/>
          <w:sz w:val="24"/>
          <w:szCs w:val="24"/>
        </w:rPr>
      </w:pPr>
      <w:r>
        <w:rPr>
          <w:rFonts w:ascii="Arial" w:hAnsi="Arial" w:cs="Arial"/>
          <w:b/>
          <w:color w:val="5B9BD5" w:themeColor="accent1"/>
          <w:sz w:val="24"/>
          <w:szCs w:val="24"/>
        </w:rPr>
        <w:lastRenderedPageBreak/>
        <w:t>H</w:t>
      </w:r>
      <w:r w:rsidRPr="00D528E0">
        <w:rPr>
          <w:rFonts w:ascii="Arial" w:hAnsi="Arial" w:cs="Arial"/>
          <w:b/>
          <w:color w:val="5B9BD5" w:themeColor="accent1"/>
          <w:sz w:val="24"/>
          <w:szCs w:val="24"/>
        </w:rPr>
        <w:t xml:space="preserve">. </w:t>
      </w:r>
      <w:r>
        <w:rPr>
          <w:rFonts w:ascii="Arial" w:hAnsi="Arial" w:cs="Arial"/>
          <w:b/>
          <w:color w:val="5B9BD5" w:themeColor="accent1"/>
          <w:sz w:val="24"/>
          <w:szCs w:val="24"/>
        </w:rPr>
        <w:t>ANNEX III</w:t>
      </w:r>
    </w:p>
    <w:p w14:paraId="527C87F9" w14:textId="77777777" w:rsidR="006B5D21" w:rsidRDefault="006B5D21">
      <w:pPr>
        <w:widowControl w:val="0"/>
        <w:ind w:left="0" w:firstLine="0"/>
        <w:contextualSpacing w:val="0"/>
        <w:rPr>
          <w:rFonts w:ascii="Arial" w:hAnsi="Arial" w:cs="Arial"/>
          <w:color w:val="000000" w:themeColor="text1"/>
          <w:sz w:val="22"/>
          <w:szCs w:val="22"/>
        </w:rPr>
      </w:pPr>
    </w:p>
    <w:tbl>
      <w:tblPr>
        <w:tblStyle w:val="TableGrid"/>
        <w:tblW w:w="0" w:type="auto"/>
        <w:tblLook w:val="04A0" w:firstRow="1" w:lastRow="0" w:firstColumn="1" w:lastColumn="0" w:noHBand="0" w:noVBand="1"/>
      </w:tblPr>
      <w:tblGrid>
        <w:gridCol w:w="8567"/>
      </w:tblGrid>
      <w:tr w:rsidR="00A236C8" w14:paraId="5BA80EA6" w14:textId="77777777" w:rsidTr="00A906F1">
        <w:trPr>
          <w:trHeight w:val="334"/>
        </w:trPr>
        <w:tc>
          <w:tcPr>
            <w:tcW w:w="8567" w:type="dxa"/>
          </w:tcPr>
          <w:p w14:paraId="0E7939B8" w14:textId="77777777" w:rsidR="00A236C8" w:rsidRPr="008F0D9F" w:rsidRDefault="004B68BC" w:rsidP="004B68BC">
            <w:pPr>
              <w:widowControl w:val="0"/>
              <w:ind w:left="0" w:firstLine="0"/>
              <w:contextualSpacing w:val="0"/>
              <w:rPr>
                <w:rFonts w:ascii="Arial" w:hAnsi="Arial" w:cs="Arial"/>
                <w:b/>
                <w:color w:val="000000" w:themeColor="text1"/>
                <w:sz w:val="22"/>
                <w:szCs w:val="22"/>
              </w:rPr>
            </w:pPr>
            <w:r>
              <w:rPr>
                <w:rFonts w:ascii="Arial" w:hAnsi="Arial" w:cs="Arial"/>
                <w:b/>
                <w:color w:val="000000" w:themeColor="text1"/>
                <w:sz w:val="22"/>
                <w:szCs w:val="22"/>
              </w:rPr>
              <w:t>LAWS ON QUOTAS FOR PARTICIPATION OF WOMEN</w:t>
            </w:r>
          </w:p>
        </w:tc>
      </w:tr>
      <w:tr w:rsidR="00A236C8" w14:paraId="1C4154C6" w14:textId="77777777" w:rsidTr="00A236C8">
        <w:trPr>
          <w:trHeight w:val="1572"/>
        </w:trPr>
        <w:tc>
          <w:tcPr>
            <w:tcW w:w="8567" w:type="dxa"/>
          </w:tcPr>
          <w:p w14:paraId="5946E918" w14:textId="77777777" w:rsidR="00D95BC3" w:rsidRDefault="00D95BC3" w:rsidP="00A236C8">
            <w:pPr>
              <w:widowControl w:val="0"/>
              <w:ind w:left="0" w:firstLine="0"/>
              <w:contextualSpacing w:val="0"/>
              <w:rPr>
                <w:rFonts w:ascii="Arial" w:hAnsi="Arial" w:cs="Arial"/>
                <w:b/>
                <w:bCs/>
                <w:color w:val="000000" w:themeColor="text1"/>
                <w:sz w:val="22"/>
                <w:szCs w:val="22"/>
                <w:lang w:val="sk-SK"/>
              </w:rPr>
            </w:pPr>
          </w:p>
          <w:p w14:paraId="1069220D" w14:textId="77777777" w:rsidR="004B68BC" w:rsidRDefault="004B68BC" w:rsidP="00A236C8">
            <w:pPr>
              <w:widowControl w:val="0"/>
              <w:ind w:left="0" w:firstLine="0"/>
              <w:contextualSpacing w:val="0"/>
              <w:rPr>
                <w:rFonts w:ascii="Arial" w:hAnsi="Arial" w:cs="Arial"/>
                <w:b/>
                <w:bCs/>
                <w:color w:val="000000" w:themeColor="text1"/>
                <w:sz w:val="22"/>
                <w:szCs w:val="22"/>
                <w:lang w:val="sk-SK"/>
              </w:rPr>
            </w:pPr>
            <w:r>
              <w:rPr>
                <w:rFonts w:ascii="Arial" w:hAnsi="Arial" w:cs="Arial"/>
                <w:b/>
                <w:bCs/>
                <w:color w:val="000000" w:themeColor="text1"/>
                <w:sz w:val="22"/>
                <w:szCs w:val="22"/>
                <w:lang w:val="sk-SK"/>
              </w:rPr>
              <w:t>SLOVENIA</w:t>
            </w:r>
          </w:p>
          <w:p w14:paraId="2C4C0884" w14:textId="77777777" w:rsidR="004B68BC" w:rsidRPr="00867E8B" w:rsidRDefault="004B68BC" w:rsidP="00A236C8">
            <w:pPr>
              <w:widowControl w:val="0"/>
              <w:ind w:left="0" w:firstLine="0"/>
              <w:contextualSpacing w:val="0"/>
              <w:rPr>
                <w:rFonts w:ascii="Arial" w:hAnsi="Arial" w:cs="Arial"/>
                <w:b/>
                <w:bCs/>
                <w:color w:val="000000" w:themeColor="text1"/>
                <w:lang w:val="sk-SK"/>
              </w:rPr>
            </w:pPr>
          </w:p>
          <w:p w14:paraId="7BEF87D7" w14:textId="77777777" w:rsidR="00867E8B" w:rsidRPr="00107D5B" w:rsidRDefault="00867E8B" w:rsidP="00867E8B">
            <w:pPr>
              <w:ind w:left="0" w:firstLine="0"/>
              <w:contextualSpacing w:val="0"/>
              <w:jc w:val="left"/>
              <w:rPr>
                <w:rFonts w:ascii="Times" w:eastAsia="Times New Roman" w:hAnsi="Times" w:cs="Times New Roman"/>
                <w:color w:val="auto"/>
                <w:sz w:val="22"/>
                <w:szCs w:val="22"/>
                <w:lang w:eastAsia="it-IT"/>
              </w:rPr>
            </w:pPr>
            <w:r w:rsidRPr="00107D5B">
              <w:rPr>
                <w:rFonts w:ascii="Arial" w:eastAsia="Times New Roman" w:hAnsi="Arial" w:cs="Arial"/>
                <w:b/>
                <w:bCs/>
                <w:color w:val="333333"/>
                <w:sz w:val="22"/>
                <w:szCs w:val="22"/>
                <w:shd w:val="clear" w:color="auto" w:fill="FFFFFF"/>
                <w:lang w:eastAsia="it-IT"/>
              </w:rPr>
              <w:t>Equality of opportunity and treatment Act, 2002</w:t>
            </w:r>
          </w:p>
          <w:p w14:paraId="2F3B45C8" w14:textId="77777777" w:rsidR="00867E8B" w:rsidRDefault="00867E8B" w:rsidP="00A236C8">
            <w:pPr>
              <w:widowControl w:val="0"/>
              <w:ind w:left="0" w:firstLine="0"/>
              <w:contextualSpacing w:val="0"/>
              <w:rPr>
                <w:rFonts w:ascii="Arial" w:hAnsi="Arial" w:cs="Arial"/>
                <w:b/>
                <w:bCs/>
                <w:color w:val="000000" w:themeColor="text1"/>
                <w:sz w:val="22"/>
                <w:szCs w:val="22"/>
                <w:lang w:val="sk-SK"/>
              </w:rPr>
            </w:pPr>
          </w:p>
          <w:p w14:paraId="0FF0DB1B" w14:textId="77777777" w:rsidR="00867E8B" w:rsidRPr="00867E8B" w:rsidRDefault="00867E8B" w:rsidP="00867E8B">
            <w:pPr>
              <w:widowControl w:val="0"/>
              <w:ind w:left="0" w:firstLine="0"/>
              <w:contextualSpacing w:val="0"/>
              <w:rPr>
                <w:rFonts w:ascii="Arial" w:hAnsi="Arial" w:cs="Arial"/>
                <w:bCs/>
                <w:color w:val="000000" w:themeColor="text1"/>
                <w:sz w:val="22"/>
                <w:szCs w:val="22"/>
                <w:lang w:val="sk-SK"/>
              </w:rPr>
            </w:pPr>
            <w:r w:rsidRPr="00867E8B">
              <w:rPr>
                <w:rFonts w:ascii="Arial" w:hAnsi="Arial" w:cs="Arial"/>
                <w:bCs/>
                <w:color w:val="000000" w:themeColor="text1"/>
                <w:sz w:val="22"/>
                <w:szCs w:val="22"/>
                <w:lang w:val="sk-SK"/>
              </w:rPr>
              <w:t>Article 14</w:t>
            </w:r>
          </w:p>
          <w:p w14:paraId="26125F4C" w14:textId="77777777" w:rsidR="00867E8B" w:rsidRPr="00867E8B" w:rsidRDefault="00867E8B" w:rsidP="00867E8B">
            <w:pPr>
              <w:widowControl w:val="0"/>
              <w:ind w:left="0" w:firstLine="0"/>
              <w:contextualSpacing w:val="0"/>
              <w:rPr>
                <w:rFonts w:ascii="Arial" w:hAnsi="Arial" w:cs="Arial"/>
                <w:bCs/>
                <w:color w:val="000000" w:themeColor="text1"/>
                <w:sz w:val="22"/>
                <w:szCs w:val="22"/>
                <w:lang w:val="sk-SK"/>
              </w:rPr>
            </w:pPr>
            <w:r w:rsidRPr="00867E8B">
              <w:rPr>
                <w:rFonts w:ascii="Arial" w:hAnsi="Arial" w:cs="Arial"/>
                <w:bCs/>
                <w:color w:val="000000" w:themeColor="text1"/>
                <w:sz w:val="22"/>
                <w:szCs w:val="22"/>
                <w:lang w:val="sk-SK"/>
              </w:rPr>
              <w:t>(Working bodies of the government and ministries)</w:t>
            </w:r>
          </w:p>
          <w:p w14:paraId="29DE9AD6" w14:textId="77777777" w:rsidR="00867E8B" w:rsidRPr="00867E8B" w:rsidRDefault="00867E8B" w:rsidP="00867E8B">
            <w:pPr>
              <w:widowControl w:val="0"/>
              <w:ind w:left="0" w:firstLine="0"/>
              <w:contextualSpacing w:val="0"/>
              <w:rPr>
                <w:rFonts w:ascii="Arial" w:hAnsi="Arial" w:cs="Arial"/>
                <w:bCs/>
                <w:color w:val="000000" w:themeColor="text1"/>
                <w:sz w:val="22"/>
                <w:szCs w:val="22"/>
                <w:lang w:val="sk-SK"/>
              </w:rPr>
            </w:pPr>
            <w:r w:rsidRPr="00867E8B">
              <w:rPr>
                <w:rFonts w:ascii="Arial" w:hAnsi="Arial" w:cs="Arial"/>
                <w:bCs/>
                <w:color w:val="000000" w:themeColor="text1"/>
                <w:sz w:val="22"/>
                <w:szCs w:val="22"/>
                <w:lang w:val="sk-SK"/>
              </w:rPr>
              <w:t>(1) The government shall respect the principle of balanced representation of women</w:t>
            </w:r>
          </w:p>
          <w:p w14:paraId="5BE6CE5F" w14:textId="77777777" w:rsidR="00867E8B" w:rsidRPr="00867E8B" w:rsidRDefault="00867E8B" w:rsidP="00867E8B">
            <w:pPr>
              <w:widowControl w:val="0"/>
              <w:ind w:left="0" w:firstLine="0"/>
              <w:contextualSpacing w:val="0"/>
              <w:rPr>
                <w:rFonts w:ascii="Arial" w:hAnsi="Arial" w:cs="Arial"/>
                <w:bCs/>
                <w:color w:val="000000" w:themeColor="text1"/>
                <w:sz w:val="22"/>
                <w:szCs w:val="22"/>
                <w:lang w:val="sk-SK"/>
              </w:rPr>
            </w:pPr>
            <w:r w:rsidRPr="00867E8B">
              <w:rPr>
                <w:rFonts w:ascii="Arial" w:hAnsi="Arial" w:cs="Arial"/>
                <w:bCs/>
                <w:color w:val="000000" w:themeColor="text1"/>
                <w:sz w:val="22"/>
                <w:szCs w:val="22"/>
                <w:lang w:val="sk-SK"/>
              </w:rPr>
              <w:t>and men with regard to the composition of consultative and co-ordination bodies,</w:t>
            </w:r>
          </w:p>
          <w:p w14:paraId="4087E90E" w14:textId="77777777" w:rsidR="00867E8B" w:rsidRPr="00867E8B" w:rsidRDefault="00867E8B" w:rsidP="00867E8B">
            <w:pPr>
              <w:widowControl w:val="0"/>
              <w:ind w:left="0" w:firstLine="0"/>
              <w:contextualSpacing w:val="0"/>
              <w:rPr>
                <w:rFonts w:ascii="Arial" w:hAnsi="Arial" w:cs="Arial"/>
                <w:bCs/>
                <w:color w:val="000000" w:themeColor="text1"/>
                <w:sz w:val="22"/>
                <w:szCs w:val="22"/>
                <w:lang w:val="sk-SK"/>
              </w:rPr>
            </w:pPr>
            <w:r w:rsidRPr="00867E8B">
              <w:rPr>
                <w:rFonts w:ascii="Arial" w:hAnsi="Arial" w:cs="Arial"/>
                <w:bCs/>
                <w:color w:val="000000" w:themeColor="text1"/>
                <w:sz w:val="22"/>
                <w:szCs w:val="22"/>
                <w:lang w:val="sk-SK"/>
              </w:rPr>
              <w:t>other working bodies and delegations established in accordance with the</w:t>
            </w:r>
          </w:p>
          <w:p w14:paraId="3904900F" w14:textId="77777777" w:rsidR="00867E8B" w:rsidRPr="00867E8B" w:rsidRDefault="00867E8B" w:rsidP="00867E8B">
            <w:pPr>
              <w:widowControl w:val="0"/>
              <w:ind w:left="0" w:firstLine="0"/>
              <w:contextualSpacing w:val="0"/>
              <w:rPr>
                <w:rFonts w:ascii="Arial" w:hAnsi="Arial" w:cs="Arial"/>
                <w:bCs/>
                <w:color w:val="000000" w:themeColor="text1"/>
                <w:sz w:val="22"/>
                <w:szCs w:val="22"/>
                <w:lang w:val="sk-SK"/>
              </w:rPr>
            </w:pPr>
            <w:r w:rsidRPr="00867E8B">
              <w:rPr>
                <w:rFonts w:ascii="Arial" w:hAnsi="Arial" w:cs="Arial"/>
                <w:bCs/>
                <w:color w:val="000000" w:themeColor="text1"/>
                <w:sz w:val="22"/>
                <w:szCs w:val="22"/>
                <w:lang w:val="sk-SK"/>
              </w:rPr>
              <w:t>Government of the Republic of Slovenia Act and with its Standing Orders as well as</w:t>
            </w:r>
          </w:p>
          <w:p w14:paraId="7F175E58" w14:textId="77777777" w:rsidR="00867E8B" w:rsidRPr="00867E8B" w:rsidRDefault="00867E8B" w:rsidP="00867E8B">
            <w:pPr>
              <w:widowControl w:val="0"/>
              <w:ind w:left="0" w:firstLine="0"/>
              <w:contextualSpacing w:val="0"/>
              <w:rPr>
                <w:rFonts w:ascii="Arial" w:hAnsi="Arial" w:cs="Arial"/>
                <w:bCs/>
                <w:color w:val="000000" w:themeColor="text1"/>
                <w:sz w:val="22"/>
                <w:szCs w:val="22"/>
                <w:lang w:val="sk-SK"/>
              </w:rPr>
            </w:pPr>
            <w:r w:rsidRPr="00867E8B">
              <w:rPr>
                <w:rFonts w:ascii="Arial" w:hAnsi="Arial" w:cs="Arial"/>
                <w:bCs/>
                <w:color w:val="000000" w:themeColor="text1"/>
                <w:sz w:val="22"/>
                <w:szCs w:val="22"/>
                <w:lang w:val="sk-SK"/>
              </w:rPr>
              <w:t>with regard to the appointment or nomination of government representatives in</w:t>
            </w:r>
          </w:p>
          <w:p w14:paraId="3E8B6070" w14:textId="77777777" w:rsidR="00867E8B" w:rsidRPr="00867E8B" w:rsidRDefault="00867E8B" w:rsidP="00867E8B">
            <w:pPr>
              <w:widowControl w:val="0"/>
              <w:ind w:left="0" w:firstLine="0"/>
              <w:contextualSpacing w:val="0"/>
              <w:rPr>
                <w:rFonts w:ascii="Arial" w:hAnsi="Arial" w:cs="Arial"/>
                <w:bCs/>
                <w:color w:val="000000" w:themeColor="text1"/>
                <w:sz w:val="22"/>
                <w:szCs w:val="22"/>
                <w:lang w:val="sk-SK"/>
              </w:rPr>
            </w:pPr>
            <w:r w:rsidRPr="00867E8B">
              <w:rPr>
                <w:rFonts w:ascii="Arial" w:hAnsi="Arial" w:cs="Arial"/>
                <w:bCs/>
                <w:color w:val="000000" w:themeColor="text1"/>
                <w:sz w:val="22"/>
                <w:szCs w:val="22"/>
                <w:lang w:val="sk-SK"/>
              </w:rPr>
              <w:t>state-owned enterprises and other public bodies, unless this is not possible for</w:t>
            </w:r>
          </w:p>
          <w:p w14:paraId="03FF75F1" w14:textId="77777777" w:rsidR="00867E8B" w:rsidRPr="00867E8B" w:rsidRDefault="00867E8B" w:rsidP="00867E8B">
            <w:pPr>
              <w:widowControl w:val="0"/>
              <w:ind w:left="0" w:firstLine="0"/>
              <w:contextualSpacing w:val="0"/>
              <w:rPr>
                <w:rFonts w:ascii="Arial" w:hAnsi="Arial" w:cs="Arial"/>
                <w:bCs/>
                <w:color w:val="000000" w:themeColor="text1"/>
                <w:sz w:val="22"/>
                <w:szCs w:val="22"/>
                <w:lang w:val="sk-SK"/>
              </w:rPr>
            </w:pPr>
            <w:r w:rsidRPr="00867E8B">
              <w:rPr>
                <w:rFonts w:ascii="Arial" w:hAnsi="Arial" w:cs="Arial"/>
                <w:bCs/>
                <w:color w:val="000000" w:themeColor="text1"/>
                <w:sz w:val="22"/>
                <w:szCs w:val="22"/>
                <w:lang w:val="sk-SK"/>
              </w:rPr>
              <w:t>objective reasons.</w:t>
            </w:r>
          </w:p>
          <w:p w14:paraId="7A5C5C70" w14:textId="77777777" w:rsidR="00867E8B" w:rsidRPr="00867E8B" w:rsidRDefault="00867E8B" w:rsidP="00867E8B">
            <w:pPr>
              <w:widowControl w:val="0"/>
              <w:ind w:left="0" w:firstLine="0"/>
              <w:contextualSpacing w:val="0"/>
              <w:rPr>
                <w:rFonts w:ascii="Arial" w:hAnsi="Arial" w:cs="Arial"/>
                <w:bCs/>
                <w:color w:val="000000" w:themeColor="text1"/>
                <w:sz w:val="22"/>
                <w:szCs w:val="22"/>
                <w:lang w:val="sk-SK"/>
              </w:rPr>
            </w:pPr>
            <w:r w:rsidRPr="00867E8B">
              <w:rPr>
                <w:rFonts w:ascii="Arial" w:hAnsi="Arial" w:cs="Arial"/>
                <w:bCs/>
                <w:color w:val="000000" w:themeColor="text1"/>
                <w:sz w:val="22"/>
                <w:szCs w:val="22"/>
                <w:lang w:val="sk-SK"/>
              </w:rPr>
              <w:t>(2) The obligation referred to in the previous paragraph shall also be binding on</w:t>
            </w:r>
          </w:p>
          <w:p w14:paraId="4453363D" w14:textId="77777777" w:rsidR="00867E8B" w:rsidRPr="00867E8B" w:rsidRDefault="00867E8B" w:rsidP="00867E8B">
            <w:pPr>
              <w:widowControl w:val="0"/>
              <w:ind w:left="0" w:firstLine="0"/>
              <w:contextualSpacing w:val="0"/>
              <w:rPr>
                <w:rFonts w:ascii="Arial" w:hAnsi="Arial" w:cs="Arial"/>
                <w:bCs/>
                <w:color w:val="000000" w:themeColor="text1"/>
                <w:sz w:val="22"/>
                <w:szCs w:val="22"/>
                <w:lang w:val="sk-SK"/>
              </w:rPr>
            </w:pPr>
            <w:r w:rsidRPr="00867E8B">
              <w:rPr>
                <w:rFonts w:ascii="Arial" w:hAnsi="Arial" w:cs="Arial"/>
                <w:bCs/>
                <w:color w:val="000000" w:themeColor="text1"/>
                <w:sz w:val="22"/>
                <w:szCs w:val="22"/>
                <w:lang w:val="sk-SK"/>
              </w:rPr>
              <w:t>ministers with regard to the composition of expert councils established in accordance</w:t>
            </w:r>
          </w:p>
          <w:p w14:paraId="47549E3F" w14:textId="77777777" w:rsidR="00867E8B" w:rsidRPr="00867E8B" w:rsidRDefault="00867E8B" w:rsidP="00A236C8">
            <w:pPr>
              <w:widowControl w:val="0"/>
              <w:ind w:left="0" w:firstLine="0"/>
              <w:contextualSpacing w:val="0"/>
              <w:rPr>
                <w:rFonts w:ascii="Arial" w:hAnsi="Arial" w:cs="Arial"/>
                <w:bCs/>
                <w:color w:val="000000" w:themeColor="text1"/>
                <w:sz w:val="22"/>
                <w:szCs w:val="22"/>
                <w:lang w:val="sk-SK"/>
              </w:rPr>
            </w:pPr>
            <w:r w:rsidRPr="00867E8B">
              <w:rPr>
                <w:rFonts w:ascii="Arial" w:hAnsi="Arial" w:cs="Arial"/>
                <w:bCs/>
                <w:color w:val="000000" w:themeColor="text1"/>
                <w:sz w:val="22"/>
                <w:szCs w:val="22"/>
                <w:lang w:val="sk-SK"/>
              </w:rPr>
              <w:t>wi</w:t>
            </w:r>
            <w:r>
              <w:rPr>
                <w:rFonts w:ascii="Arial" w:hAnsi="Arial" w:cs="Arial"/>
                <w:bCs/>
                <w:color w:val="000000" w:themeColor="text1"/>
                <w:sz w:val="22"/>
                <w:szCs w:val="22"/>
                <w:lang w:val="sk-SK"/>
              </w:rPr>
              <w:t>th the State Administration Act.</w:t>
            </w:r>
          </w:p>
          <w:p w14:paraId="1447B9CC" w14:textId="77777777" w:rsidR="00867E8B" w:rsidRDefault="00867E8B" w:rsidP="00A236C8">
            <w:pPr>
              <w:widowControl w:val="0"/>
              <w:ind w:left="0" w:firstLine="0"/>
              <w:contextualSpacing w:val="0"/>
              <w:rPr>
                <w:rFonts w:ascii="Arial" w:hAnsi="Arial" w:cs="Arial"/>
                <w:b/>
                <w:bCs/>
                <w:color w:val="000000" w:themeColor="text1"/>
                <w:sz w:val="22"/>
                <w:szCs w:val="22"/>
                <w:lang w:val="sk-SK"/>
              </w:rPr>
            </w:pPr>
          </w:p>
          <w:p w14:paraId="1EAF7199" w14:textId="77777777" w:rsidR="00867E8B" w:rsidRDefault="00867E8B" w:rsidP="00A236C8">
            <w:pPr>
              <w:widowControl w:val="0"/>
              <w:ind w:left="0" w:firstLine="0"/>
              <w:contextualSpacing w:val="0"/>
              <w:rPr>
                <w:rFonts w:ascii="Arial" w:hAnsi="Arial" w:cs="Arial"/>
                <w:b/>
                <w:bCs/>
                <w:color w:val="000000" w:themeColor="text1"/>
                <w:sz w:val="22"/>
                <w:szCs w:val="22"/>
                <w:lang w:val="sk-SK"/>
              </w:rPr>
            </w:pPr>
          </w:p>
          <w:p w14:paraId="4BA5ADAF" w14:textId="77777777" w:rsidR="00A236C8" w:rsidRPr="00A236C8" w:rsidRDefault="00A236C8" w:rsidP="00A236C8">
            <w:pPr>
              <w:widowControl w:val="0"/>
              <w:ind w:left="0" w:firstLine="0"/>
              <w:contextualSpacing w:val="0"/>
              <w:rPr>
                <w:rFonts w:ascii="Arial" w:hAnsi="Arial" w:cs="Arial"/>
                <w:b/>
                <w:bCs/>
                <w:color w:val="000000" w:themeColor="text1"/>
                <w:sz w:val="22"/>
                <w:szCs w:val="22"/>
                <w:lang w:val="sk-SK"/>
              </w:rPr>
            </w:pPr>
            <w:r w:rsidRPr="00A236C8">
              <w:rPr>
                <w:rFonts w:ascii="Arial" w:hAnsi="Arial" w:cs="Arial"/>
                <w:b/>
                <w:bCs/>
                <w:color w:val="000000" w:themeColor="text1"/>
                <w:sz w:val="22"/>
                <w:szCs w:val="22"/>
                <w:lang w:val="sk-SK"/>
              </w:rPr>
              <w:t>Uredba o kriterijih za upoštevanje načela uravnoteene zastopanosti spolov (Uradni list RS, št. 103/0)</w:t>
            </w:r>
          </w:p>
          <w:p w14:paraId="2E04E7C5" w14:textId="77777777" w:rsidR="00A236C8" w:rsidRPr="00A236C8" w:rsidRDefault="00A236C8" w:rsidP="00A236C8">
            <w:pPr>
              <w:widowControl w:val="0"/>
              <w:ind w:left="0" w:firstLine="0"/>
              <w:contextualSpacing w:val="0"/>
              <w:rPr>
                <w:rFonts w:ascii="Arial" w:hAnsi="Arial" w:cs="Arial"/>
                <w:b/>
                <w:bCs/>
                <w:color w:val="000000" w:themeColor="text1"/>
                <w:sz w:val="22"/>
                <w:szCs w:val="22"/>
                <w:lang w:val="sk-SK"/>
              </w:rPr>
            </w:pPr>
            <w:r w:rsidRPr="00A236C8">
              <w:rPr>
                <w:rFonts w:ascii="Arial" w:hAnsi="Arial" w:cs="Arial"/>
                <w:b/>
                <w:bCs/>
                <w:color w:val="000000" w:themeColor="text1"/>
                <w:sz w:val="22"/>
                <w:szCs w:val="22"/>
                <w:lang w:val="sk-SK"/>
              </w:rPr>
              <w:t>1. člen</w:t>
            </w:r>
          </w:p>
          <w:p w14:paraId="0D3C3834" w14:textId="77777777" w:rsidR="00A236C8" w:rsidRPr="00A236C8" w:rsidRDefault="00A236C8" w:rsidP="00A236C8">
            <w:pPr>
              <w:widowControl w:val="0"/>
              <w:ind w:left="0" w:firstLine="0"/>
              <w:contextualSpacing w:val="0"/>
              <w:rPr>
                <w:rFonts w:ascii="Arial" w:hAnsi="Arial" w:cs="Arial"/>
                <w:b/>
                <w:bCs/>
                <w:color w:val="000000" w:themeColor="text1"/>
                <w:sz w:val="22"/>
                <w:szCs w:val="22"/>
                <w:lang w:val="sk-SK"/>
              </w:rPr>
            </w:pPr>
            <w:r w:rsidRPr="00A236C8">
              <w:rPr>
                <w:rFonts w:ascii="Arial" w:hAnsi="Arial" w:cs="Arial"/>
                <w:b/>
                <w:bCs/>
                <w:color w:val="000000" w:themeColor="text1"/>
                <w:sz w:val="22"/>
                <w:szCs w:val="22"/>
                <w:lang w:val="sk-SK"/>
              </w:rPr>
              <w:t>(vsebina uredbe)</w:t>
            </w:r>
          </w:p>
          <w:p w14:paraId="5A44C8E1" w14:textId="77777777" w:rsidR="00A236C8" w:rsidRPr="00A236C8" w:rsidRDefault="00A236C8" w:rsidP="00A236C8">
            <w:pPr>
              <w:widowControl w:val="0"/>
              <w:ind w:left="0" w:firstLine="0"/>
              <w:contextualSpacing w:val="0"/>
              <w:rPr>
                <w:rFonts w:ascii="Arial" w:hAnsi="Arial" w:cs="Arial"/>
                <w:color w:val="000000" w:themeColor="text1"/>
                <w:sz w:val="22"/>
                <w:szCs w:val="22"/>
                <w:lang w:val="sk-SK"/>
              </w:rPr>
            </w:pPr>
            <w:r w:rsidRPr="00A236C8">
              <w:rPr>
                <w:rFonts w:ascii="Arial" w:hAnsi="Arial" w:cs="Arial"/>
                <w:color w:val="000000" w:themeColor="text1"/>
                <w:sz w:val="22"/>
                <w:szCs w:val="22"/>
                <w:lang w:val="sk-SK"/>
              </w:rPr>
              <w:t>(1) Ta uredba določa kriterije za upoštevanje načela uravnotežene zastopanosti žensk in moških:</w:t>
            </w:r>
          </w:p>
          <w:p w14:paraId="1BDB3D1A" w14:textId="77777777" w:rsidR="00A236C8" w:rsidRPr="00A236C8" w:rsidRDefault="00A236C8" w:rsidP="00A236C8">
            <w:pPr>
              <w:widowControl w:val="0"/>
              <w:ind w:left="0" w:firstLine="0"/>
              <w:contextualSpacing w:val="0"/>
              <w:rPr>
                <w:rFonts w:ascii="Arial" w:hAnsi="Arial" w:cs="Arial"/>
                <w:color w:val="000000" w:themeColor="text1"/>
                <w:sz w:val="22"/>
                <w:szCs w:val="22"/>
                <w:lang w:val="sk-SK"/>
              </w:rPr>
            </w:pPr>
            <w:r w:rsidRPr="00A236C8">
              <w:rPr>
                <w:rFonts w:ascii="Arial" w:hAnsi="Arial" w:cs="Arial"/>
                <w:color w:val="000000" w:themeColor="text1"/>
                <w:sz w:val="22"/>
                <w:szCs w:val="22"/>
                <w:lang w:val="sk-SK"/>
              </w:rPr>
              <w:t>-        pri sestavi posvetovalnih in usklajevalnih organov, drugih delovnih teles ter delegacij, ki jih ustanovi Vlada Republike Slovenije (v nadaljnjem besedilu: vlada) po zakonu o Vladi Republike Slovenije in po svojem poslovniku (v nadaljnjem besedilu: vladna telesa),</w:t>
            </w:r>
          </w:p>
          <w:p w14:paraId="44C3CE5C" w14:textId="77777777" w:rsidR="00A236C8" w:rsidRPr="00A236C8" w:rsidRDefault="00A236C8" w:rsidP="00A236C8">
            <w:pPr>
              <w:widowControl w:val="0"/>
              <w:ind w:left="0" w:firstLine="0"/>
              <w:contextualSpacing w:val="0"/>
              <w:rPr>
                <w:rFonts w:ascii="Arial" w:hAnsi="Arial" w:cs="Arial"/>
                <w:color w:val="000000" w:themeColor="text1"/>
                <w:sz w:val="22"/>
                <w:szCs w:val="22"/>
                <w:lang w:val="sk-SK"/>
              </w:rPr>
            </w:pPr>
            <w:r w:rsidRPr="00A236C8">
              <w:rPr>
                <w:rFonts w:ascii="Arial" w:hAnsi="Arial" w:cs="Arial"/>
                <w:color w:val="000000" w:themeColor="text1"/>
                <w:sz w:val="22"/>
                <w:szCs w:val="22"/>
                <w:lang w:val="sk-SK"/>
              </w:rPr>
              <w:t>-        pri predlaganju predstavnic in predstavnikov vlade v javnih podjetjih ter v drugih osebah javnega prava (v nadaljnjem besedilu: osebe javnega prava), ki jih imenuje vlada,</w:t>
            </w:r>
          </w:p>
          <w:p w14:paraId="26D076F1" w14:textId="77777777" w:rsidR="00A236C8" w:rsidRPr="00A236C8" w:rsidRDefault="00A236C8" w:rsidP="00A236C8">
            <w:pPr>
              <w:widowControl w:val="0"/>
              <w:ind w:left="0" w:firstLine="0"/>
              <w:contextualSpacing w:val="0"/>
              <w:rPr>
                <w:rFonts w:ascii="Arial" w:hAnsi="Arial" w:cs="Arial"/>
                <w:color w:val="000000" w:themeColor="text1"/>
                <w:sz w:val="22"/>
                <w:szCs w:val="22"/>
                <w:lang w:val="sk-SK"/>
              </w:rPr>
            </w:pPr>
            <w:r w:rsidRPr="00A236C8">
              <w:rPr>
                <w:rFonts w:ascii="Arial" w:hAnsi="Arial" w:cs="Arial"/>
                <w:color w:val="000000" w:themeColor="text1"/>
                <w:sz w:val="22"/>
                <w:szCs w:val="22"/>
                <w:lang w:val="sk-SK"/>
              </w:rPr>
              <w:t>-        pri sestavi strokovnih svetov, ki jih po zakonu o državni upravi ustanovijo ministrice in ministri (v nadaljnjem besedilu: strokovni sveti).</w:t>
            </w:r>
          </w:p>
          <w:p w14:paraId="266FB506" w14:textId="77777777" w:rsidR="00A236C8" w:rsidRPr="00A236C8" w:rsidRDefault="00A236C8" w:rsidP="00A236C8">
            <w:pPr>
              <w:widowControl w:val="0"/>
              <w:ind w:left="0" w:firstLine="0"/>
              <w:contextualSpacing w:val="0"/>
              <w:rPr>
                <w:rFonts w:ascii="Arial" w:hAnsi="Arial" w:cs="Arial"/>
                <w:color w:val="000000" w:themeColor="text1"/>
                <w:sz w:val="22"/>
                <w:szCs w:val="22"/>
                <w:lang w:val="sk-SK"/>
              </w:rPr>
            </w:pPr>
            <w:r w:rsidRPr="00A236C8">
              <w:rPr>
                <w:rFonts w:ascii="Arial" w:hAnsi="Arial" w:cs="Arial"/>
                <w:color w:val="000000" w:themeColor="text1"/>
                <w:sz w:val="22"/>
                <w:szCs w:val="22"/>
                <w:lang w:val="sk-SK"/>
              </w:rPr>
              <w:t>(2) Predstavnice in predstavniki vlade v osebah javnega prava iz druge alinee prejšnjega odstavka so osebe, ki zastopajo interese vlade v organih upravljanja in nadzornih svetih oseb javnega prava.</w:t>
            </w:r>
          </w:p>
          <w:p w14:paraId="268066DF" w14:textId="77777777" w:rsidR="00A236C8" w:rsidRPr="00A236C8" w:rsidRDefault="00A236C8" w:rsidP="00A236C8">
            <w:pPr>
              <w:widowControl w:val="0"/>
              <w:ind w:left="0" w:firstLine="0"/>
              <w:contextualSpacing w:val="0"/>
              <w:rPr>
                <w:rFonts w:ascii="Arial" w:hAnsi="Arial" w:cs="Arial"/>
                <w:b/>
                <w:bCs/>
                <w:color w:val="000000" w:themeColor="text1"/>
                <w:sz w:val="22"/>
                <w:szCs w:val="22"/>
                <w:lang w:val="sk-SK"/>
              </w:rPr>
            </w:pPr>
            <w:r w:rsidRPr="00A236C8">
              <w:rPr>
                <w:rFonts w:ascii="Arial" w:hAnsi="Arial" w:cs="Arial"/>
                <w:b/>
                <w:bCs/>
                <w:color w:val="000000" w:themeColor="text1"/>
                <w:sz w:val="22"/>
                <w:szCs w:val="22"/>
                <w:lang w:val="sk-SK"/>
              </w:rPr>
              <w:t>2. člen</w:t>
            </w:r>
          </w:p>
          <w:p w14:paraId="26F73BA0" w14:textId="77777777" w:rsidR="00A236C8" w:rsidRPr="00A236C8" w:rsidRDefault="00A236C8" w:rsidP="00A236C8">
            <w:pPr>
              <w:widowControl w:val="0"/>
              <w:ind w:left="0" w:firstLine="0"/>
              <w:contextualSpacing w:val="0"/>
              <w:rPr>
                <w:rFonts w:ascii="Arial" w:hAnsi="Arial" w:cs="Arial"/>
                <w:b/>
                <w:bCs/>
                <w:color w:val="000000" w:themeColor="text1"/>
                <w:sz w:val="22"/>
                <w:szCs w:val="22"/>
                <w:lang w:val="sk-SK"/>
              </w:rPr>
            </w:pPr>
            <w:r w:rsidRPr="00A236C8">
              <w:rPr>
                <w:rFonts w:ascii="Arial" w:hAnsi="Arial" w:cs="Arial"/>
                <w:b/>
                <w:bCs/>
                <w:color w:val="000000" w:themeColor="text1"/>
                <w:sz w:val="22"/>
                <w:szCs w:val="22"/>
                <w:lang w:val="sk-SK"/>
              </w:rPr>
              <w:t>(uravnotežena zastopanost žensk in moških)</w:t>
            </w:r>
          </w:p>
          <w:p w14:paraId="75B72EF5" w14:textId="77777777" w:rsidR="00A236C8" w:rsidRPr="00A236C8" w:rsidRDefault="00A236C8" w:rsidP="00A236C8">
            <w:pPr>
              <w:widowControl w:val="0"/>
              <w:ind w:left="0" w:firstLine="0"/>
              <w:contextualSpacing w:val="0"/>
              <w:rPr>
                <w:rFonts w:ascii="Arial" w:hAnsi="Arial" w:cs="Arial"/>
                <w:color w:val="000000" w:themeColor="text1"/>
                <w:sz w:val="22"/>
                <w:szCs w:val="22"/>
                <w:lang w:val="sk-SK"/>
              </w:rPr>
            </w:pPr>
            <w:r w:rsidRPr="00A236C8">
              <w:rPr>
                <w:rFonts w:ascii="Arial" w:hAnsi="Arial" w:cs="Arial"/>
                <w:color w:val="000000" w:themeColor="text1"/>
                <w:sz w:val="22"/>
                <w:szCs w:val="22"/>
                <w:lang w:val="sk-SK"/>
              </w:rPr>
              <w:t>(1) Uravnotežena zastopanost žensk in moških pri sestavi vladnih teles in strokovnih svetov pomeni najmanj 40% predstavnic oziroma predstavnikov enega spola v posameznem vladnem telesu ali strokovnem svetu.</w:t>
            </w:r>
          </w:p>
          <w:p w14:paraId="0F9151F0" w14:textId="77777777" w:rsidR="00A236C8" w:rsidRPr="00A236C8" w:rsidRDefault="00A236C8" w:rsidP="00A236C8">
            <w:pPr>
              <w:widowControl w:val="0"/>
              <w:ind w:left="0" w:firstLine="0"/>
              <w:contextualSpacing w:val="0"/>
              <w:rPr>
                <w:rFonts w:ascii="Arial" w:hAnsi="Arial" w:cs="Arial"/>
                <w:color w:val="000000" w:themeColor="text1"/>
                <w:sz w:val="22"/>
                <w:szCs w:val="22"/>
                <w:lang w:val="sk-SK"/>
              </w:rPr>
            </w:pPr>
            <w:r w:rsidRPr="00A236C8">
              <w:rPr>
                <w:rFonts w:ascii="Arial" w:hAnsi="Arial" w:cs="Arial"/>
                <w:color w:val="000000" w:themeColor="text1"/>
                <w:sz w:val="22"/>
                <w:szCs w:val="22"/>
                <w:lang w:val="sk-SK"/>
              </w:rPr>
              <w:t>(2) Uravnotežena zastopanost žensk in moških v osebah javnega prava pomeni, da je med predstavnicami in predstavniki vlade v posamezni osebi javnega prava zastopanost enega spola najmanj 40%.</w:t>
            </w:r>
          </w:p>
          <w:p w14:paraId="55010B13" w14:textId="77777777" w:rsidR="00A236C8" w:rsidRPr="0018618A" w:rsidRDefault="00A236C8" w:rsidP="00A236C8">
            <w:pPr>
              <w:widowControl w:val="0"/>
              <w:ind w:left="0" w:firstLine="0"/>
              <w:contextualSpacing w:val="0"/>
              <w:rPr>
                <w:rFonts w:ascii="Arial" w:hAnsi="Arial" w:cs="Arial"/>
                <w:i/>
                <w:color w:val="000000" w:themeColor="text1"/>
                <w:sz w:val="22"/>
                <w:szCs w:val="22"/>
                <w:lang w:val="sk-SK"/>
              </w:rPr>
            </w:pPr>
          </w:p>
          <w:p w14:paraId="2412BC29" w14:textId="77777777" w:rsidR="00A236C8" w:rsidRPr="00A236C8" w:rsidRDefault="00A236C8" w:rsidP="00A236C8">
            <w:pPr>
              <w:widowControl w:val="0"/>
              <w:ind w:left="0" w:firstLine="0"/>
              <w:contextualSpacing w:val="0"/>
              <w:rPr>
                <w:rFonts w:ascii="Arial" w:hAnsi="Arial" w:cs="Arial"/>
                <w:i/>
                <w:color w:val="000000" w:themeColor="text1"/>
                <w:sz w:val="22"/>
                <w:szCs w:val="22"/>
                <w:lang w:val="en-GB"/>
              </w:rPr>
            </w:pPr>
            <w:r w:rsidRPr="00A236C8">
              <w:rPr>
                <w:rFonts w:ascii="Arial" w:hAnsi="Arial" w:cs="Arial"/>
                <w:i/>
                <w:color w:val="000000" w:themeColor="text1"/>
                <w:sz w:val="22"/>
                <w:szCs w:val="22"/>
                <w:lang w:val="en-GB"/>
              </w:rPr>
              <w:t>Translation (unofficial)</w:t>
            </w:r>
          </w:p>
          <w:p w14:paraId="7DC925B7" w14:textId="77777777" w:rsidR="00A236C8" w:rsidRPr="00A236C8" w:rsidRDefault="00A236C8" w:rsidP="00A236C8">
            <w:pPr>
              <w:widowControl w:val="0"/>
              <w:ind w:left="0" w:firstLine="0"/>
              <w:contextualSpacing w:val="0"/>
              <w:rPr>
                <w:rFonts w:ascii="Arial" w:hAnsi="Arial" w:cs="Arial"/>
                <w:i/>
                <w:color w:val="000000" w:themeColor="text1"/>
                <w:sz w:val="22"/>
                <w:szCs w:val="22"/>
                <w:lang w:val="en-GB"/>
              </w:rPr>
            </w:pPr>
          </w:p>
          <w:p w14:paraId="28B8DFDC" w14:textId="77777777" w:rsidR="00A236C8" w:rsidRPr="00A236C8" w:rsidRDefault="00A236C8" w:rsidP="00A236C8">
            <w:pPr>
              <w:widowControl w:val="0"/>
              <w:ind w:left="0" w:firstLine="0"/>
              <w:contextualSpacing w:val="0"/>
              <w:rPr>
                <w:rFonts w:ascii="Arial" w:hAnsi="Arial" w:cs="Arial"/>
                <w:i/>
                <w:color w:val="000000" w:themeColor="text1"/>
                <w:sz w:val="22"/>
                <w:szCs w:val="22"/>
                <w:lang w:val="en-GB"/>
              </w:rPr>
            </w:pPr>
            <w:r w:rsidRPr="00A236C8">
              <w:rPr>
                <w:rFonts w:ascii="Arial" w:hAnsi="Arial" w:cs="Arial"/>
                <w:i/>
                <w:color w:val="000000" w:themeColor="text1"/>
                <w:sz w:val="22"/>
                <w:szCs w:val="22"/>
                <w:lang w:val="en-GB"/>
              </w:rPr>
              <w:t>Article 1</w:t>
            </w:r>
          </w:p>
          <w:p w14:paraId="5770B07F" w14:textId="77777777" w:rsidR="00A236C8" w:rsidRPr="00A236C8" w:rsidRDefault="00A236C8" w:rsidP="00A236C8">
            <w:pPr>
              <w:widowControl w:val="0"/>
              <w:ind w:left="0" w:firstLine="0"/>
              <w:contextualSpacing w:val="0"/>
              <w:rPr>
                <w:rFonts w:ascii="Arial" w:hAnsi="Arial" w:cs="Arial"/>
                <w:i/>
                <w:color w:val="000000" w:themeColor="text1"/>
                <w:sz w:val="22"/>
                <w:szCs w:val="22"/>
                <w:lang w:val="en-GB"/>
              </w:rPr>
            </w:pPr>
            <w:r w:rsidRPr="00A236C8">
              <w:rPr>
                <w:rFonts w:ascii="Arial" w:hAnsi="Arial" w:cs="Arial"/>
                <w:i/>
                <w:color w:val="000000" w:themeColor="text1"/>
                <w:sz w:val="22"/>
                <w:szCs w:val="22"/>
                <w:lang w:val="en-GB"/>
              </w:rPr>
              <w:t>(Contents of the Regulation)</w:t>
            </w:r>
          </w:p>
          <w:p w14:paraId="192FCD1C" w14:textId="77777777" w:rsidR="00A236C8" w:rsidRPr="00A236C8" w:rsidRDefault="00A236C8" w:rsidP="00A236C8">
            <w:pPr>
              <w:widowControl w:val="0"/>
              <w:ind w:left="0" w:firstLine="0"/>
              <w:contextualSpacing w:val="0"/>
              <w:rPr>
                <w:rFonts w:ascii="Arial" w:hAnsi="Arial" w:cs="Arial"/>
                <w:i/>
                <w:color w:val="000000" w:themeColor="text1"/>
                <w:sz w:val="22"/>
                <w:szCs w:val="22"/>
                <w:lang w:val="en-GB"/>
              </w:rPr>
            </w:pPr>
            <w:r w:rsidRPr="00A236C8">
              <w:rPr>
                <w:rFonts w:ascii="Arial" w:hAnsi="Arial" w:cs="Arial"/>
                <w:i/>
                <w:color w:val="000000" w:themeColor="text1"/>
                <w:sz w:val="22"/>
                <w:szCs w:val="22"/>
                <w:lang w:val="en-GB"/>
              </w:rPr>
              <w:t>(1) This Regulation sets out the criteria for complying with the principle of a balanced representation of women and men:</w:t>
            </w:r>
          </w:p>
          <w:p w14:paraId="59DC5DE6" w14:textId="77777777" w:rsidR="00A236C8" w:rsidRPr="00A236C8" w:rsidRDefault="00A236C8" w:rsidP="00A236C8">
            <w:pPr>
              <w:widowControl w:val="0"/>
              <w:ind w:left="0" w:firstLine="0"/>
              <w:contextualSpacing w:val="0"/>
              <w:rPr>
                <w:rFonts w:ascii="Arial" w:hAnsi="Arial" w:cs="Arial"/>
                <w:i/>
                <w:color w:val="000000" w:themeColor="text1"/>
                <w:sz w:val="22"/>
                <w:szCs w:val="22"/>
                <w:lang w:val="en-GB"/>
              </w:rPr>
            </w:pPr>
            <w:r w:rsidRPr="00A236C8">
              <w:rPr>
                <w:rFonts w:ascii="Arial" w:hAnsi="Arial" w:cs="Arial"/>
                <w:i/>
                <w:color w:val="000000" w:themeColor="text1"/>
                <w:sz w:val="22"/>
                <w:szCs w:val="22"/>
                <w:lang w:val="en-GB"/>
              </w:rPr>
              <w:t>- in the composition of consultative and coordinating bodies, other working bodies and delegations set up by the Government of the Republic of Slovenia (hereinafter: the Government) in accordance with the Law on the Government of the Republic of Slovenia and by its Rules of Procedure (hereinafter: government bodies)</w:t>
            </w:r>
          </w:p>
          <w:p w14:paraId="760B1944" w14:textId="77777777" w:rsidR="00A236C8" w:rsidRPr="00A236C8" w:rsidRDefault="00A236C8" w:rsidP="00A236C8">
            <w:pPr>
              <w:widowControl w:val="0"/>
              <w:ind w:left="0" w:firstLine="0"/>
              <w:contextualSpacing w:val="0"/>
              <w:rPr>
                <w:rFonts w:ascii="Arial" w:hAnsi="Arial" w:cs="Arial"/>
                <w:i/>
                <w:color w:val="000000" w:themeColor="text1"/>
                <w:sz w:val="22"/>
                <w:szCs w:val="22"/>
                <w:lang w:val="en-GB"/>
              </w:rPr>
            </w:pPr>
            <w:r w:rsidRPr="00A236C8">
              <w:rPr>
                <w:rFonts w:ascii="Arial" w:hAnsi="Arial" w:cs="Arial"/>
                <w:i/>
                <w:color w:val="000000" w:themeColor="text1"/>
                <w:sz w:val="22"/>
                <w:szCs w:val="22"/>
                <w:lang w:val="en-GB"/>
              </w:rPr>
              <w:t>- when proposing representatives and representatives of the government in public companies and other bodies governed by public law (hereinafter: bodies governed by public law) appointed by the government,</w:t>
            </w:r>
          </w:p>
          <w:p w14:paraId="22D5484E" w14:textId="77777777" w:rsidR="00A236C8" w:rsidRPr="00A236C8" w:rsidRDefault="00A236C8" w:rsidP="00A236C8">
            <w:pPr>
              <w:widowControl w:val="0"/>
              <w:ind w:left="0" w:firstLine="0"/>
              <w:contextualSpacing w:val="0"/>
              <w:rPr>
                <w:rFonts w:ascii="Arial" w:hAnsi="Arial" w:cs="Arial"/>
                <w:i/>
                <w:color w:val="000000" w:themeColor="text1"/>
                <w:sz w:val="22"/>
                <w:szCs w:val="22"/>
                <w:lang w:val="en-GB"/>
              </w:rPr>
            </w:pPr>
            <w:r w:rsidRPr="00A236C8">
              <w:rPr>
                <w:rFonts w:ascii="Arial" w:hAnsi="Arial" w:cs="Arial"/>
                <w:i/>
                <w:color w:val="000000" w:themeColor="text1"/>
                <w:sz w:val="22"/>
                <w:szCs w:val="22"/>
                <w:lang w:val="en-GB"/>
              </w:rPr>
              <w:t>- in the composition of the expert councils established by the law on state administration by ministers and ministers (hereinafter: expert councils).</w:t>
            </w:r>
          </w:p>
          <w:p w14:paraId="6B43A2E3" w14:textId="77777777" w:rsidR="00A236C8" w:rsidRPr="00A236C8" w:rsidRDefault="00A236C8" w:rsidP="00A236C8">
            <w:pPr>
              <w:widowControl w:val="0"/>
              <w:ind w:left="0" w:firstLine="0"/>
              <w:contextualSpacing w:val="0"/>
              <w:rPr>
                <w:rFonts w:ascii="Arial" w:hAnsi="Arial" w:cs="Arial"/>
                <w:i/>
                <w:color w:val="000000" w:themeColor="text1"/>
                <w:sz w:val="22"/>
                <w:szCs w:val="22"/>
                <w:lang w:val="en-GB"/>
              </w:rPr>
            </w:pPr>
            <w:r w:rsidRPr="00A236C8">
              <w:rPr>
                <w:rFonts w:ascii="Arial" w:hAnsi="Arial" w:cs="Arial"/>
                <w:i/>
                <w:color w:val="000000" w:themeColor="text1"/>
                <w:sz w:val="22"/>
                <w:szCs w:val="22"/>
                <w:lang w:val="en-GB"/>
              </w:rPr>
              <w:t>(2) Representatives and representatives of the Government in public law entities referred to in the second indent of the preceding paragraph shall be persons representing the interests of the Government in the governing bodies and supervisory boards of bodies governed by public law.</w:t>
            </w:r>
          </w:p>
          <w:p w14:paraId="1CCCD468" w14:textId="77777777" w:rsidR="00A236C8" w:rsidRPr="00A236C8" w:rsidRDefault="00A236C8" w:rsidP="00A236C8">
            <w:pPr>
              <w:widowControl w:val="0"/>
              <w:ind w:left="0" w:firstLine="0"/>
              <w:contextualSpacing w:val="0"/>
              <w:rPr>
                <w:rFonts w:ascii="Arial" w:hAnsi="Arial" w:cs="Arial"/>
                <w:i/>
                <w:color w:val="000000" w:themeColor="text1"/>
                <w:sz w:val="22"/>
                <w:szCs w:val="22"/>
                <w:lang w:val="en-GB"/>
              </w:rPr>
            </w:pPr>
            <w:r w:rsidRPr="00A236C8">
              <w:rPr>
                <w:rFonts w:ascii="Arial" w:hAnsi="Arial" w:cs="Arial"/>
                <w:i/>
                <w:color w:val="000000" w:themeColor="text1"/>
                <w:sz w:val="22"/>
                <w:szCs w:val="22"/>
                <w:lang w:val="en-GB"/>
              </w:rPr>
              <w:t>Article 2</w:t>
            </w:r>
          </w:p>
          <w:p w14:paraId="78FD49A8" w14:textId="77777777" w:rsidR="00A236C8" w:rsidRPr="00A236C8" w:rsidRDefault="00A236C8" w:rsidP="00A236C8">
            <w:pPr>
              <w:widowControl w:val="0"/>
              <w:ind w:left="0" w:firstLine="0"/>
              <w:contextualSpacing w:val="0"/>
              <w:rPr>
                <w:rFonts w:ascii="Arial" w:hAnsi="Arial" w:cs="Arial"/>
                <w:i/>
                <w:color w:val="000000" w:themeColor="text1"/>
                <w:sz w:val="22"/>
                <w:szCs w:val="22"/>
                <w:lang w:val="en-GB"/>
              </w:rPr>
            </w:pPr>
            <w:r w:rsidRPr="00A236C8">
              <w:rPr>
                <w:rFonts w:ascii="Arial" w:hAnsi="Arial" w:cs="Arial"/>
                <w:i/>
                <w:color w:val="000000" w:themeColor="text1"/>
                <w:sz w:val="22"/>
                <w:szCs w:val="22"/>
                <w:lang w:val="en-GB"/>
              </w:rPr>
              <w:t>(balanced representation of women and men)</w:t>
            </w:r>
          </w:p>
          <w:p w14:paraId="27FFB4DC" w14:textId="77777777" w:rsidR="00A236C8" w:rsidRPr="00A236C8" w:rsidRDefault="00A236C8" w:rsidP="00A236C8">
            <w:pPr>
              <w:widowControl w:val="0"/>
              <w:ind w:left="0" w:firstLine="0"/>
              <w:contextualSpacing w:val="0"/>
              <w:rPr>
                <w:rFonts w:ascii="Arial" w:hAnsi="Arial" w:cs="Arial"/>
                <w:i/>
                <w:color w:val="000000" w:themeColor="text1"/>
                <w:sz w:val="22"/>
                <w:szCs w:val="22"/>
                <w:lang w:val="en-GB"/>
              </w:rPr>
            </w:pPr>
            <w:r w:rsidRPr="00A236C8">
              <w:rPr>
                <w:rFonts w:ascii="Arial" w:hAnsi="Arial" w:cs="Arial"/>
                <w:i/>
                <w:color w:val="000000" w:themeColor="text1"/>
                <w:sz w:val="22"/>
                <w:szCs w:val="22"/>
                <w:lang w:val="en-GB"/>
              </w:rPr>
              <w:t>(1) A balanced representation of women and men in the composition of government bodies and professional councils means at least 40% of representatives or representatives of one sex in a particular governmental body or professional council.</w:t>
            </w:r>
          </w:p>
          <w:p w14:paraId="17CA1518" w14:textId="77777777" w:rsidR="00A236C8" w:rsidRPr="00A236C8" w:rsidRDefault="00A236C8" w:rsidP="00A236C8">
            <w:pPr>
              <w:widowControl w:val="0"/>
              <w:ind w:left="0" w:firstLine="0"/>
              <w:contextualSpacing w:val="0"/>
              <w:rPr>
                <w:rFonts w:ascii="Arial" w:hAnsi="Arial" w:cs="Arial"/>
                <w:i/>
                <w:color w:val="000000" w:themeColor="text1"/>
                <w:sz w:val="22"/>
                <w:szCs w:val="22"/>
                <w:lang w:val="en-GB"/>
              </w:rPr>
            </w:pPr>
            <w:r w:rsidRPr="00A236C8">
              <w:rPr>
                <w:rFonts w:ascii="Arial" w:hAnsi="Arial" w:cs="Arial"/>
                <w:i/>
                <w:color w:val="000000" w:themeColor="text1"/>
                <w:sz w:val="22"/>
                <w:szCs w:val="22"/>
                <w:lang w:val="en-GB"/>
              </w:rPr>
              <w:t>(2) The balanced representation of women and men in public law entities means that representation of one sex is at least 40% between representatives and representatives of the government in a particular public entity.</w:t>
            </w:r>
          </w:p>
          <w:p w14:paraId="3E9803E6" w14:textId="77777777" w:rsidR="00A236C8" w:rsidRDefault="00A236C8">
            <w:pPr>
              <w:widowControl w:val="0"/>
              <w:ind w:left="0" w:firstLine="0"/>
              <w:contextualSpacing w:val="0"/>
              <w:rPr>
                <w:rFonts w:ascii="Arial" w:hAnsi="Arial" w:cs="Arial"/>
                <w:color w:val="000000" w:themeColor="text1"/>
                <w:sz w:val="22"/>
                <w:szCs w:val="22"/>
              </w:rPr>
            </w:pPr>
          </w:p>
          <w:p w14:paraId="68DA61A6" w14:textId="77777777" w:rsidR="004B68BC" w:rsidRDefault="004B68BC">
            <w:pPr>
              <w:widowControl w:val="0"/>
              <w:ind w:left="0" w:firstLine="0"/>
              <w:contextualSpacing w:val="0"/>
              <w:rPr>
                <w:rFonts w:ascii="Arial" w:hAnsi="Arial" w:cs="Arial"/>
                <w:color w:val="000000" w:themeColor="text1"/>
                <w:sz w:val="22"/>
                <w:szCs w:val="22"/>
              </w:rPr>
            </w:pPr>
          </w:p>
          <w:p w14:paraId="1CE10801" w14:textId="77777777" w:rsidR="004B68BC" w:rsidRPr="005F4D3C" w:rsidRDefault="004B68BC" w:rsidP="005F4D3C">
            <w:pPr>
              <w:widowControl w:val="0"/>
              <w:ind w:left="0" w:firstLine="0"/>
              <w:contextualSpacing w:val="0"/>
              <w:rPr>
                <w:rFonts w:ascii="Arial" w:hAnsi="Arial" w:cs="Arial"/>
                <w:color w:val="000000" w:themeColor="text1"/>
                <w:sz w:val="22"/>
                <w:szCs w:val="22"/>
                <w:lang w:val="fr-FR"/>
              </w:rPr>
            </w:pPr>
            <w:r w:rsidRPr="005F4D3C">
              <w:rPr>
                <w:rFonts w:ascii="Arial" w:hAnsi="Arial" w:cs="Arial"/>
                <w:b/>
                <w:color w:val="000000" w:themeColor="text1"/>
                <w:sz w:val="22"/>
                <w:szCs w:val="22"/>
                <w:lang w:val="fr-FR"/>
              </w:rPr>
              <w:t>FRANCE</w:t>
            </w:r>
          </w:p>
          <w:p w14:paraId="7FFCDB03" w14:textId="77777777" w:rsidR="004B68BC" w:rsidRPr="0018618A" w:rsidRDefault="004B68BC" w:rsidP="004B68BC">
            <w:pPr>
              <w:widowControl w:val="0"/>
              <w:ind w:left="0" w:firstLine="0"/>
              <w:contextualSpacing w:val="0"/>
              <w:rPr>
                <w:rFonts w:ascii="Arial" w:hAnsi="Arial" w:cs="Arial"/>
                <w:color w:val="000000" w:themeColor="text1"/>
                <w:sz w:val="22"/>
                <w:szCs w:val="22"/>
                <w:lang w:val="fr-FR"/>
              </w:rPr>
            </w:pPr>
            <w:r w:rsidRPr="0018618A">
              <w:rPr>
                <w:rFonts w:ascii="Arial" w:hAnsi="Arial" w:cs="Arial"/>
                <w:bCs/>
                <w:color w:val="000000" w:themeColor="text1"/>
                <w:sz w:val="22"/>
                <w:szCs w:val="22"/>
                <w:lang w:val="fr-FR"/>
              </w:rPr>
              <w:t>LOI n° 2012-347 du 12 mars 2012 relative à l'accès à l'emploi titulaire et à l'amélioration des conditions d'emploi des agents contractuels dans la fonction publique, à la lutte contre les discriminations et portant diverses dispositions relatives à la fonction publique</w:t>
            </w:r>
          </w:p>
          <w:p w14:paraId="226AFB53" w14:textId="77777777" w:rsidR="004B68BC" w:rsidRPr="0018618A" w:rsidRDefault="004B68BC" w:rsidP="004B68BC">
            <w:pPr>
              <w:widowControl w:val="0"/>
              <w:ind w:left="0" w:firstLine="0"/>
              <w:contextualSpacing w:val="0"/>
              <w:rPr>
                <w:rFonts w:ascii="Arial" w:hAnsi="Arial" w:cs="Arial"/>
                <w:color w:val="000000" w:themeColor="text1"/>
                <w:sz w:val="22"/>
                <w:szCs w:val="22"/>
                <w:lang w:val="fr-FR"/>
              </w:rPr>
            </w:pPr>
          </w:p>
          <w:p w14:paraId="7D387517" w14:textId="77777777" w:rsidR="004B68BC" w:rsidRPr="005F4D3C" w:rsidRDefault="004B68BC" w:rsidP="004B68BC">
            <w:pPr>
              <w:widowControl w:val="0"/>
              <w:ind w:left="0" w:firstLine="0"/>
              <w:contextualSpacing w:val="0"/>
              <w:rPr>
                <w:rFonts w:ascii="Arial" w:hAnsi="Arial" w:cs="Arial"/>
                <w:b/>
                <w:bCs/>
                <w:color w:val="000000" w:themeColor="text1"/>
                <w:sz w:val="22"/>
                <w:szCs w:val="22"/>
                <w:lang w:val="fr-FR"/>
              </w:rPr>
            </w:pPr>
            <w:r w:rsidRPr="005F4D3C">
              <w:rPr>
                <w:rFonts w:ascii="Arial" w:hAnsi="Arial" w:cs="Arial"/>
                <w:b/>
                <w:bCs/>
                <w:color w:val="000000" w:themeColor="text1"/>
                <w:sz w:val="22"/>
                <w:szCs w:val="22"/>
                <w:lang w:val="fr-FR"/>
              </w:rPr>
              <w:t>Article 53</w:t>
            </w:r>
          </w:p>
          <w:p w14:paraId="79F100AB" w14:textId="77777777" w:rsidR="004B68BC" w:rsidRPr="0018618A" w:rsidRDefault="004B68BC" w:rsidP="004B68BC">
            <w:pPr>
              <w:widowControl w:val="0"/>
              <w:ind w:left="0" w:firstLine="0"/>
              <w:contextualSpacing w:val="0"/>
              <w:rPr>
                <w:rFonts w:ascii="Arial" w:hAnsi="Arial" w:cs="Arial"/>
                <w:color w:val="000000" w:themeColor="text1"/>
                <w:sz w:val="22"/>
                <w:szCs w:val="22"/>
                <w:lang w:val="fr-FR"/>
              </w:rPr>
            </w:pPr>
            <w:r w:rsidRPr="0018618A">
              <w:rPr>
                <w:rFonts w:ascii="Arial" w:hAnsi="Arial" w:cs="Arial"/>
                <w:color w:val="000000" w:themeColor="text1"/>
                <w:sz w:val="22"/>
                <w:szCs w:val="22"/>
                <w:lang w:val="fr-FR"/>
              </w:rPr>
              <w:t>Modifié par </w:t>
            </w:r>
            <w:hyperlink r:id="rId9" w:anchor="LEGIARTI000032435384" w:history="1">
              <w:r w:rsidRPr="0018618A">
                <w:rPr>
                  <w:rStyle w:val="Hyperlink"/>
                  <w:rFonts w:ascii="Arial" w:hAnsi="Arial" w:cs="Arial"/>
                  <w:sz w:val="22"/>
                  <w:szCs w:val="22"/>
                  <w:lang w:val="fr-FR"/>
                </w:rPr>
                <w:t>LOI n°2016-483 du 20 avril 2016 - art. 54 (V)</w:t>
              </w:r>
            </w:hyperlink>
            <w:r w:rsidRPr="0018618A">
              <w:rPr>
                <w:rFonts w:ascii="Arial" w:hAnsi="Arial" w:cs="Arial"/>
                <w:color w:val="000000" w:themeColor="text1"/>
                <w:sz w:val="22"/>
                <w:szCs w:val="22"/>
                <w:lang w:val="fr-FR"/>
              </w:rPr>
              <w:t> </w:t>
            </w:r>
          </w:p>
          <w:p w14:paraId="2DB39024" w14:textId="77777777" w:rsidR="004B68BC" w:rsidRPr="0018618A" w:rsidRDefault="004B68BC" w:rsidP="004B68BC">
            <w:pPr>
              <w:widowControl w:val="0"/>
              <w:ind w:left="0" w:firstLine="0"/>
              <w:contextualSpacing w:val="0"/>
              <w:rPr>
                <w:rFonts w:ascii="Arial" w:hAnsi="Arial" w:cs="Arial"/>
                <w:color w:val="000000" w:themeColor="text1"/>
                <w:sz w:val="22"/>
                <w:szCs w:val="22"/>
                <w:lang w:val="fr-FR"/>
              </w:rPr>
            </w:pPr>
            <w:r w:rsidRPr="0018618A">
              <w:rPr>
                <w:rFonts w:ascii="Arial" w:hAnsi="Arial" w:cs="Arial"/>
                <w:color w:val="000000" w:themeColor="text1"/>
                <w:sz w:val="22"/>
                <w:szCs w:val="22"/>
                <w:lang w:val="fr-FR"/>
              </w:rPr>
              <w:t>I.-Les membres respectifs du Conseil commun de la fonction publique, du Conseil supérieur de la fonction publique de l'Etat, du Conseil supérieur de la fonction publique territoriale et du Conseil supérieur de la fonction publique hospitalière sont désignés dans les conditions suivantes :</w:t>
            </w:r>
          </w:p>
          <w:p w14:paraId="5CAD7DD5" w14:textId="77777777" w:rsidR="004B68BC" w:rsidRPr="0018618A" w:rsidRDefault="004B68BC" w:rsidP="004B68BC">
            <w:pPr>
              <w:widowControl w:val="0"/>
              <w:ind w:left="0" w:firstLine="0"/>
              <w:contextualSpacing w:val="0"/>
              <w:rPr>
                <w:rFonts w:ascii="Arial" w:hAnsi="Arial" w:cs="Arial"/>
                <w:color w:val="000000" w:themeColor="text1"/>
                <w:sz w:val="22"/>
                <w:szCs w:val="22"/>
                <w:lang w:val="fr-FR"/>
              </w:rPr>
            </w:pPr>
            <w:r w:rsidRPr="0018618A">
              <w:rPr>
                <w:rFonts w:ascii="Arial" w:hAnsi="Arial" w:cs="Arial"/>
                <w:color w:val="000000" w:themeColor="text1"/>
                <w:sz w:val="22"/>
                <w:szCs w:val="22"/>
                <w:lang w:val="fr-FR"/>
              </w:rPr>
              <w:t>1° Les représentants de chaque organisation syndicale de fonctionnaires qui détient plus d'un siège sont désignés par celles-ci en respectant chacune une proportion minimale de 40 % de personnes de chaque sexe ;</w:t>
            </w:r>
          </w:p>
          <w:p w14:paraId="06C13C88" w14:textId="77777777" w:rsidR="004B68BC" w:rsidRPr="0018618A" w:rsidRDefault="004B68BC" w:rsidP="004B68BC">
            <w:pPr>
              <w:widowControl w:val="0"/>
              <w:ind w:left="0" w:firstLine="0"/>
              <w:contextualSpacing w:val="0"/>
              <w:rPr>
                <w:rFonts w:ascii="Arial" w:hAnsi="Arial" w:cs="Arial"/>
                <w:color w:val="000000" w:themeColor="text1"/>
                <w:sz w:val="22"/>
                <w:szCs w:val="22"/>
                <w:lang w:val="fr-FR"/>
              </w:rPr>
            </w:pPr>
            <w:r w:rsidRPr="0018618A">
              <w:rPr>
                <w:rFonts w:ascii="Arial" w:hAnsi="Arial" w:cs="Arial"/>
                <w:color w:val="000000" w:themeColor="text1"/>
                <w:sz w:val="22"/>
                <w:szCs w:val="22"/>
                <w:lang w:val="fr-FR"/>
              </w:rPr>
              <w:t>2° Les représentants des employeurs publics sont désignés, dans chacune des catégories qu'ils représentent, en respectant une proportion minimale de 40 % de personnes de chaque sexe. Lorsqu'ils sont élus, cette proportion s'applique à chaque liste de candidats par catégorie.</w:t>
            </w:r>
          </w:p>
          <w:p w14:paraId="3E3BF351" w14:textId="77777777" w:rsidR="004B68BC" w:rsidRPr="0018618A" w:rsidRDefault="004B68BC" w:rsidP="004B68BC">
            <w:pPr>
              <w:widowControl w:val="0"/>
              <w:ind w:left="0" w:firstLine="0"/>
              <w:contextualSpacing w:val="0"/>
              <w:rPr>
                <w:rFonts w:ascii="Arial" w:hAnsi="Arial" w:cs="Arial"/>
                <w:color w:val="000000" w:themeColor="text1"/>
                <w:sz w:val="22"/>
                <w:szCs w:val="22"/>
                <w:lang w:val="fr-FR"/>
              </w:rPr>
            </w:pPr>
            <w:r w:rsidRPr="0018618A">
              <w:rPr>
                <w:rFonts w:ascii="Arial" w:hAnsi="Arial" w:cs="Arial"/>
                <w:color w:val="000000" w:themeColor="text1"/>
                <w:sz w:val="22"/>
                <w:szCs w:val="22"/>
                <w:lang w:val="fr-FR"/>
              </w:rPr>
              <w:lastRenderedPageBreak/>
              <w:t>Toutefois, lorsque le nombre de sièges mentionné aux 1° ou 2° est égal à trois, l'écart entre le nombre de personnes de chaque sexe ne peut être supérieur à un.</w:t>
            </w:r>
          </w:p>
          <w:p w14:paraId="1CF22FF6" w14:textId="77777777" w:rsidR="004B68BC" w:rsidRPr="0018618A" w:rsidRDefault="004B68BC" w:rsidP="004B68BC">
            <w:pPr>
              <w:widowControl w:val="0"/>
              <w:ind w:left="0" w:firstLine="0"/>
              <w:contextualSpacing w:val="0"/>
              <w:rPr>
                <w:rFonts w:ascii="Arial" w:hAnsi="Arial" w:cs="Arial"/>
                <w:color w:val="000000" w:themeColor="text1"/>
                <w:sz w:val="22"/>
                <w:szCs w:val="22"/>
                <w:lang w:val="fr-FR"/>
              </w:rPr>
            </w:pPr>
            <w:r w:rsidRPr="0018618A">
              <w:rPr>
                <w:rFonts w:ascii="Arial" w:hAnsi="Arial" w:cs="Arial"/>
                <w:color w:val="000000" w:themeColor="text1"/>
                <w:sz w:val="22"/>
                <w:szCs w:val="22"/>
                <w:lang w:val="fr-FR"/>
              </w:rPr>
              <w:t>Les modalités d'application du présent article sont fixées par décret en Conseil d'Etat.</w:t>
            </w:r>
          </w:p>
          <w:p w14:paraId="1226B96D" w14:textId="77777777" w:rsidR="004B68BC" w:rsidRPr="0018618A" w:rsidRDefault="004B68BC" w:rsidP="004B68BC">
            <w:pPr>
              <w:widowControl w:val="0"/>
              <w:ind w:left="0" w:firstLine="0"/>
              <w:contextualSpacing w:val="0"/>
              <w:rPr>
                <w:rFonts w:ascii="Arial" w:hAnsi="Arial" w:cs="Arial"/>
                <w:color w:val="000000" w:themeColor="text1"/>
                <w:sz w:val="22"/>
                <w:szCs w:val="22"/>
                <w:lang w:val="fr-FR"/>
              </w:rPr>
            </w:pPr>
            <w:r w:rsidRPr="0018618A">
              <w:rPr>
                <w:rFonts w:ascii="Arial" w:hAnsi="Arial" w:cs="Arial"/>
                <w:color w:val="000000" w:themeColor="text1"/>
                <w:sz w:val="22"/>
                <w:szCs w:val="22"/>
                <w:lang w:val="fr-FR"/>
              </w:rPr>
              <w:t>II. - Le présent article s'applique au prochain renouvellement des membres du Conseil commun de la fonction publique, du Conseil supérieur de la fonction publique de l'Etat, du Conseil supérieur de la fonction publique territoriale et du Conseil supérieur de la fonction publique hospitalière.</w:t>
            </w:r>
          </w:p>
          <w:p w14:paraId="72A441E4" w14:textId="77777777" w:rsidR="004B68BC" w:rsidRPr="0018618A" w:rsidRDefault="004B68BC" w:rsidP="004B68BC">
            <w:pPr>
              <w:widowControl w:val="0"/>
              <w:ind w:left="0" w:firstLine="0"/>
              <w:contextualSpacing w:val="0"/>
              <w:rPr>
                <w:rFonts w:ascii="Arial" w:hAnsi="Arial" w:cs="Arial"/>
                <w:b/>
                <w:bCs/>
                <w:color w:val="000000" w:themeColor="text1"/>
                <w:sz w:val="22"/>
                <w:szCs w:val="22"/>
                <w:lang w:val="fr-FR"/>
              </w:rPr>
            </w:pPr>
          </w:p>
          <w:p w14:paraId="2280C9FB" w14:textId="77777777" w:rsidR="004B68BC" w:rsidRPr="0018618A" w:rsidRDefault="004B68BC" w:rsidP="004B68BC">
            <w:pPr>
              <w:widowControl w:val="0"/>
              <w:ind w:left="0" w:firstLine="0"/>
              <w:contextualSpacing w:val="0"/>
              <w:rPr>
                <w:rFonts w:ascii="Arial" w:hAnsi="Arial" w:cs="Arial"/>
                <w:b/>
                <w:bCs/>
                <w:color w:val="000000" w:themeColor="text1"/>
                <w:sz w:val="22"/>
                <w:szCs w:val="22"/>
                <w:lang w:val="fr-FR"/>
              </w:rPr>
            </w:pPr>
            <w:r w:rsidRPr="0018618A">
              <w:rPr>
                <w:rFonts w:ascii="Arial" w:hAnsi="Arial" w:cs="Arial"/>
                <w:b/>
                <w:bCs/>
                <w:color w:val="000000" w:themeColor="text1"/>
                <w:sz w:val="22"/>
                <w:szCs w:val="22"/>
                <w:lang w:val="fr-FR"/>
              </w:rPr>
              <w:t xml:space="preserve">Article 54  </w:t>
            </w:r>
          </w:p>
          <w:p w14:paraId="41D1694A" w14:textId="77777777" w:rsidR="004B68BC" w:rsidRDefault="004B68BC" w:rsidP="004B68BC">
            <w:pPr>
              <w:widowControl w:val="0"/>
              <w:ind w:left="0" w:firstLine="0"/>
              <w:contextualSpacing w:val="0"/>
              <w:rPr>
                <w:rFonts w:ascii="Arial" w:hAnsi="Arial" w:cs="Arial"/>
                <w:color w:val="000000" w:themeColor="text1"/>
                <w:sz w:val="22"/>
                <w:szCs w:val="22"/>
                <w:lang w:val="fr-FR"/>
              </w:rPr>
            </w:pPr>
            <w:r w:rsidRPr="0018618A">
              <w:rPr>
                <w:rFonts w:ascii="Arial" w:hAnsi="Arial" w:cs="Arial"/>
                <w:color w:val="000000" w:themeColor="text1"/>
                <w:sz w:val="22"/>
                <w:szCs w:val="22"/>
                <w:lang w:val="fr-FR"/>
              </w:rPr>
              <w:br/>
              <w:t>A compter du premier renouvellement de l'instance postérieur au 31 décembre 2013, les membres représentant l'administration ou l'autorité territoriale au sein des commissions administratives paritaires instituées au titre de la fonction publique de l'Etat, de la fonction publique territoriale et de la fonction publique hospitalière sont désignés en respectant une proportion minimale de 40 % de personnes de chaque sexe.</w:t>
            </w:r>
          </w:p>
          <w:p w14:paraId="19C12430" w14:textId="77777777" w:rsidR="004B68BC" w:rsidRDefault="004B68BC" w:rsidP="004B68BC">
            <w:pPr>
              <w:widowControl w:val="0"/>
              <w:ind w:left="0" w:firstLine="0"/>
              <w:contextualSpacing w:val="0"/>
              <w:rPr>
                <w:rFonts w:ascii="Arial" w:hAnsi="Arial" w:cs="Arial"/>
                <w:color w:val="000000" w:themeColor="text1"/>
                <w:sz w:val="22"/>
                <w:szCs w:val="22"/>
                <w:lang w:val="fr-FR"/>
              </w:rPr>
            </w:pPr>
          </w:p>
          <w:p w14:paraId="2195F2EC" w14:textId="77777777" w:rsidR="004B68BC" w:rsidRDefault="004B68BC" w:rsidP="004B68BC">
            <w:pPr>
              <w:widowControl w:val="0"/>
              <w:ind w:left="0" w:firstLine="0"/>
              <w:contextualSpacing w:val="0"/>
              <w:rPr>
                <w:rFonts w:ascii="Arial" w:hAnsi="Arial" w:cs="Arial"/>
                <w:color w:val="000000" w:themeColor="text1"/>
                <w:sz w:val="22"/>
                <w:szCs w:val="22"/>
                <w:lang w:val="fr-FR"/>
              </w:rPr>
            </w:pPr>
          </w:p>
          <w:p w14:paraId="10950507" w14:textId="77777777" w:rsidR="004B68BC" w:rsidRDefault="004B68BC" w:rsidP="004B68BC">
            <w:pPr>
              <w:widowControl w:val="0"/>
              <w:ind w:left="0" w:firstLine="0"/>
              <w:contextualSpacing w:val="0"/>
              <w:rPr>
                <w:rFonts w:ascii="Arial" w:hAnsi="Arial" w:cs="Arial"/>
                <w:b/>
                <w:color w:val="000000" w:themeColor="text1"/>
                <w:sz w:val="22"/>
                <w:szCs w:val="22"/>
              </w:rPr>
            </w:pPr>
            <w:r w:rsidRPr="008F0D9F">
              <w:rPr>
                <w:rFonts w:ascii="Arial" w:hAnsi="Arial" w:cs="Arial"/>
                <w:b/>
                <w:color w:val="000000" w:themeColor="text1"/>
                <w:sz w:val="22"/>
                <w:szCs w:val="22"/>
              </w:rPr>
              <w:t>ALBANIA</w:t>
            </w:r>
          </w:p>
          <w:p w14:paraId="3FEEA759" w14:textId="77777777" w:rsidR="004B68BC" w:rsidRDefault="004B68BC" w:rsidP="004B68BC">
            <w:pPr>
              <w:widowControl w:val="0"/>
              <w:ind w:left="0" w:firstLine="0"/>
              <w:contextualSpacing w:val="0"/>
              <w:rPr>
                <w:rFonts w:ascii="Arial" w:hAnsi="Arial" w:cs="Arial"/>
                <w:b/>
                <w:color w:val="000000" w:themeColor="text1"/>
                <w:sz w:val="22"/>
                <w:szCs w:val="22"/>
              </w:rPr>
            </w:pPr>
          </w:p>
          <w:p w14:paraId="4196D7F3" w14:textId="77777777" w:rsidR="004B68BC" w:rsidRPr="00A236C8" w:rsidRDefault="004B68BC" w:rsidP="004B68BC">
            <w:pPr>
              <w:widowControl w:val="0"/>
              <w:ind w:left="0" w:firstLine="0"/>
              <w:contextualSpacing w:val="0"/>
              <w:rPr>
                <w:rFonts w:ascii="Arial" w:hAnsi="Arial" w:cs="Arial"/>
                <w:color w:val="000000" w:themeColor="text1"/>
                <w:sz w:val="22"/>
                <w:szCs w:val="22"/>
              </w:rPr>
            </w:pPr>
            <w:r w:rsidRPr="00A236C8">
              <w:rPr>
                <w:rFonts w:ascii="Arial" w:hAnsi="Arial" w:cs="Arial"/>
                <w:b/>
                <w:color w:val="000000" w:themeColor="text1"/>
                <w:sz w:val="22"/>
                <w:szCs w:val="22"/>
              </w:rPr>
              <w:t>Council of Ministers’ Decision No. 733/2016 "National Strategy and Action Plan on Gender Equality 2016-2020"</w:t>
            </w:r>
          </w:p>
          <w:p w14:paraId="52E75E37" w14:textId="77777777" w:rsidR="004B68BC" w:rsidRPr="0018618A" w:rsidRDefault="004B68BC" w:rsidP="004B68BC">
            <w:pPr>
              <w:shd w:val="clear" w:color="auto" w:fill="FFFFFF"/>
              <w:ind w:left="0" w:firstLine="0"/>
              <w:contextualSpacing w:val="0"/>
              <w:jc w:val="left"/>
              <w:rPr>
                <w:rFonts w:ascii="Arial" w:hAnsi="Arial" w:cs="Arial"/>
                <w:color w:val="auto"/>
                <w:sz w:val="22"/>
                <w:szCs w:val="22"/>
                <w:lang w:eastAsia="it-IT"/>
              </w:rPr>
            </w:pPr>
            <w:r w:rsidRPr="0018618A">
              <w:rPr>
                <w:rFonts w:ascii="Arial" w:hAnsi="Arial" w:cs="Arial"/>
                <w:color w:val="auto"/>
                <w:sz w:val="22"/>
                <w:szCs w:val="22"/>
                <w:lang w:eastAsia="it-IT"/>
              </w:rPr>
              <w:t>Objective 2.1 – Increase in the decision making in public processes of women at managerial level regarding lawmaking, policymaking, and planning at the central level</w:t>
            </w:r>
          </w:p>
          <w:p w14:paraId="11165520" w14:textId="77777777" w:rsidR="004B68BC" w:rsidRPr="0018618A" w:rsidRDefault="004B68BC" w:rsidP="004B68BC">
            <w:pPr>
              <w:shd w:val="clear" w:color="auto" w:fill="FFFFFF"/>
              <w:ind w:left="0" w:firstLine="0"/>
              <w:contextualSpacing w:val="0"/>
              <w:jc w:val="left"/>
              <w:rPr>
                <w:rFonts w:ascii="Arial" w:hAnsi="Arial" w:cs="Arial"/>
                <w:color w:val="auto"/>
                <w:sz w:val="22"/>
                <w:szCs w:val="22"/>
                <w:lang w:eastAsia="it-IT"/>
              </w:rPr>
            </w:pPr>
            <w:r w:rsidRPr="0018618A">
              <w:rPr>
                <w:rFonts w:ascii="Arial" w:hAnsi="Arial" w:cs="Arial"/>
                <w:color w:val="auto"/>
                <w:sz w:val="22"/>
                <w:szCs w:val="22"/>
                <w:lang w:eastAsia="it-IT"/>
              </w:rPr>
              <w:t>Objective 2.2: Increase by 40% of women participation in policy-making processes and planning leadership level at the local government.</w:t>
            </w:r>
          </w:p>
          <w:p w14:paraId="20CC6ABE" w14:textId="77777777" w:rsidR="004B68BC" w:rsidRPr="00A236C8" w:rsidRDefault="004B68BC" w:rsidP="004B68BC">
            <w:pPr>
              <w:widowControl w:val="0"/>
              <w:ind w:left="0" w:firstLine="0"/>
              <w:contextualSpacing w:val="0"/>
              <w:rPr>
                <w:rFonts w:ascii="Arial" w:hAnsi="Arial" w:cs="Arial"/>
                <w:color w:val="000000" w:themeColor="text1"/>
                <w:sz w:val="22"/>
                <w:szCs w:val="22"/>
              </w:rPr>
            </w:pPr>
          </w:p>
          <w:p w14:paraId="5D27C4C0" w14:textId="77777777" w:rsidR="004B68BC" w:rsidRPr="00A236C8" w:rsidRDefault="004B68BC" w:rsidP="004B68BC">
            <w:pPr>
              <w:widowControl w:val="0"/>
              <w:ind w:left="0" w:firstLine="0"/>
              <w:contextualSpacing w:val="0"/>
              <w:rPr>
                <w:rFonts w:ascii="Arial" w:hAnsi="Arial" w:cs="Arial"/>
                <w:b/>
                <w:color w:val="000000" w:themeColor="text1"/>
                <w:sz w:val="22"/>
                <w:szCs w:val="22"/>
              </w:rPr>
            </w:pPr>
            <w:r w:rsidRPr="00A236C8">
              <w:rPr>
                <w:rFonts w:ascii="Arial" w:hAnsi="Arial" w:cs="Arial"/>
                <w:b/>
                <w:color w:val="000000" w:themeColor="text1"/>
                <w:sz w:val="22"/>
                <w:szCs w:val="22"/>
              </w:rPr>
              <w:t>Law no. 9970, 2008 “Gender Equality in Society”</w:t>
            </w:r>
          </w:p>
          <w:p w14:paraId="59B3EFC3" w14:textId="77777777" w:rsidR="004B68BC" w:rsidRPr="0018618A" w:rsidRDefault="004B68BC" w:rsidP="004B68BC">
            <w:pPr>
              <w:widowControl w:val="0"/>
              <w:ind w:left="0" w:firstLine="0"/>
              <w:contextualSpacing w:val="0"/>
              <w:rPr>
                <w:rFonts w:ascii="Arial" w:hAnsi="Arial" w:cs="Arial"/>
                <w:color w:val="auto"/>
                <w:sz w:val="22"/>
                <w:szCs w:val="22"/>
                <w:lang w:eastAsia="it-IT"/>
              </w:rPr>
            </w:pPr>
            <w:r w:rsidRPr="0018618A">
              <w:rPr>
                <w:rFonts w:ascii="Arial" w:hAnsi="Arial" w:cs="Arial"/>
                <w:color w:val="auto"/>
                <w:sz w:val="22"/>
                <w:szCs w:val="22"/>
                <w:lang w:eastAsia="it-IT"/>
              </w:rPr>
              <w:t>Article 15: Participation in the decision making process</w:t>
            </w:r>
          </w:p>
          <w:p w14:paraId="6701E8E6" w14:textId="77777777" w:rsidR="004B68BC" w:rsidRPr="0018618A" w:rsidRDefault="004B68BC" w:rsidP="004B68BC">
            <w:pPr>
              <w:widowControl w:val="0"/>
              <w:ind w:left="0" w:firstLine="0"/>
              <w:contextualSpacing w:val="0"/>
              <w:rPr>
                <w:rFonts w:ascii="Arial" w:hAnsi="Arial" w:cs="Arial"/>
                <w:color w:val="auto"/>
                <w:sz w:val="22"/>
                <w:szCs w:val="22"/>
                <w:lang w:eastAsia="it-IT"/>
              </w:rPr>
            </w:pPr>
            <w:r w:rsidRPr="0018618A">
              <w:rPr>
                <w:rFonts w:ascii="Arial" w:hAnsi="Arial" w:cs="Arial"/>
                <w:color w:val="auto"/>
                <w:sz w:val="22"/>
                <w:szCs w:val="22"/>
                <w:lang w:eastAsia="it-IT"/>
              </w:rPr>
              <w:t>(1) Equal gender participation and representation in all legislative, executive, judicial power bodies as well as in other public institutions shall be achieved when:</w:t>
            </w:r>
          </w:p>
          <w:p w14:paraId="4F50B052" w14:textId="77777777" w:rsidR="004B68BC" w:rsidRPr="0018618A" w:rsidRDefault="004B68BC" w:rsidP="004B68BC">
            <w:pPr>
              <w:widowControl w:val="0"/>
              <w:ind w:left="0" w:firstLine="0"/>
              <w:contextualSpacing w:val="0"/>
              <w:rPr>
                <w:rFonts w:ascii="Arial" w:hAnsi="Arial" w:cs="Arial"/>
                <w:color w:val="auto"/>
                <w:sz w:val="22"/>
                <w:szCs w:val="22"/>
                <w:lang w:eastAsia="it-IT"/>
              </w:rPr>
            </w:pPr>
            <w:r w:rsidRPr="0018618A">
              <w:rPr>
                <w:rFonts w:ascii="Arial" w:hAnsi="Arial" w:cs="Arial"/>
                <w:color w:val="auto"/>
                <w:sz w:val="22"/>
                <w:szCs w:val="22"/>
                <w:lang w:eastAsia="it-IT"/>
              </w:rPr>
              <w:t>a) A representation of above 30% of both sexes is ensured, including their steering bodies is ensured;</w:t>
            </w:r>
          </w:p>
          <w:p w14:paraId="658921CA" w14:textId="77777777" w:rsidR="004B68BC" w:rsidRDefault="004B68BC" w:rsidP="005F4D3C">
            <w:pPr>
              <w:widowControl w:val="0"/>
              <w:ind w:left="0" w:firstLine="0"/>
              <w:contextualSpacing w:val="0"/>
              <w:rPr>
                <w:rFonts w:ascii="Arial" w:hAnsi="Arial" w:cs="Arial"/>
                <w:color w:val="auto"/>
                <w:sz w:val="22"/>
                <w:szCs w:val="22"/>
                <w:lang w:eastAsia="it-IT"/>
              </w:rPr>
            </w:pPr>
            <w:r w:rsidRPr="0018618A">
              <w:rPr>
                <w:rFonts w:ascii="Arial" w:hAnsi="Arial" w:cs="Arial"/>
                <w:color w:val="auto"/>
                <w:sz w:val="22"/>
                <w:szCs w:val="22"/>
                <w:lang w:eastAsia="it-IT"/>
              </w:rPr>
              <w:t>b) Equal observation of competition procedures and criteria for both genders for the assignments in these bodies is ensured.</w:t>
            </w:r>
          </w:p>
          <w:p w14:paraId="58E220B7" w14:textId="77777777" w:rsidR="005F4D3C" w:rsidRDefault="005F4D3C" w:rsidP="005F4D3C">
            <w:pPr>
              <w:widowControl w:val="0"/>
              <w:ind w:left="0" w:firstLine="0"/>
              <w:contextualSpacing w:val="0"/>
              <w:rPr>
                <w:rFonts w:ascii="Arial" w:hAnsi="Arial" w:cs="Arial"/>
                <w:color w:val="auto"/>
                <w:sz w:val="22"/>
                <w:szCs w:val="22"/>
                <w:lang w:eastAsia="it-IT"/>
              </w:rPr>
            </w:pPr>
          </w:p>
          <w:p w14:paraId="760E009E" w14:textId="77777777" w:rsidR="005F4D3C" w:rsidRPr="005F4D3C" w:rsidRDefault="005F4D3C" w:rsidP="005F4D3C">
            <w:pPr>
              <w:widowControl w:val="0"/>
              <w:ind w:left="0" w:firstLine="0"/>
              <w:contextualSpacing w:val="0"/>
              <w:rPr>
                <w:rFonts w:ascii="Arial" w:hAnsi="Arial" w:cs="Arial"/>
                <w:color w:val="auto"/>
                <w:sz w:val="22"/>
                <w:szCs w:val="22"/>
                <w:lang w:eastAsia="it-IT"/>
              </w:rPr>
            </w:pPr>
          </w:p>
          <w:p w14:paraId="123A9C12" w14:textId="77777777" w:rsidR="004B68BC" w:rsidRPr="0018618A" w:rsidRDefault="004B68BC" w:rsidP="004B68BC">
            <w:pPr>
              <w:widowControl w:val="0"/>
              <w:ind w:left="0" w:firstLine="0"/>
              <w:contextualSpacing w:val="0"/>
              <w:rPr>
                <w:rFonts w:ascii="Arial" w:hAnsi="Arial" w:cs="Arial"/>
                <w:color w:val="000000" w:themeColor="text1"/>
                <w:sz w:val="22"/>
                <w:szCs w:val="22"/>
              </w:rPr>
            </w:pPr>
            <w:r w:rsidRPr="008F0D9F">
              <w:rPr>
                <w:rFonts w:ascii="Arial" w:hAnsi="Arial" w:cs="Arial"/>
                <w:b/>
                <w:color w:val="000000" w:themeColor="text1"/>
                <w:sz w:val="22"/>
                <w:szCs w:val="22"/>
              </w:rPr>
              <w:t>BOSNIA AND HERZEGOVINA</w:t>
            </w:r>
          </w:p>
          <w:p w14:paraId="6D821CF4" w14:textId="77777777" w:rsidR="004B68BC" w:rsidRDefault="004B68BC" w:rsidP="004B68BC">
            <w:pPr>
              <w:widowControl w:val="0"/>
              <w:ind w:left="0" w:firstLine="0"/>
              <w:contextualSpacing w:val="0"/>
              <w:rPr>
                <w:rFonts w:ascii="Arial" w:hAnsi="Arial" w:cs="Arial"/>
                <w:b/>
                <w:bCs/>
                <w:color w:val="000000" w:themeColor="text1"/>
                <w:sz w:val="22"/>
                <w:szCs w:val="22"/>
              </w:rPr>
            </w:pPr>
          </w:p>
          <w:p w14:paraId="339DA23F" w14:textId="77777777" w:rsidR="004B68BC" w:rsidRPr="00A236C8" w:rsidRDefault="004B68BC" w:rsidP="004B68BC">
            <w:pPr>
              <w:widowControl w:val="0"/>
              <w:ind w:left="0" w:firstLine="0"/>
              <w:contextualSpacing w:val="0"/>
              <w:rPr>
                <w:rFonts w:ascii="Arial" w:hAnsi="Arial" w:cs="Arial"/>
                <w:b/>
                <w:bCs/>
                <w:color w:val="000000" w:themeColor="text1"/>
                <w:sz w:val="22"/>
                <w:szCs w:val="22"/>
              </w:rPr>
            </w:pPr>
            <w:r w:rsidRPr="00A236C8">
              <w:rPr>
                <w:rFonts w:ascii="Arial" w:hAnsi="Arial" w:cs="Arial"/>
                <w:b/>
                <w:bCs/>
                <w:color w:val="000000" w:themeColor="text1"/>
                <w:sz w:val="22"/>
                <w:szCs w:val="22"/>
              </w:rPr>
              <w:t>The Gender Action Plan for Bosnia and Herzegovina 2013-2017</w:t>
            </w:r>
          </w:p>
          <w:p w14:paraId="41660A0D" w14:textId="77777777" w:rsidR="004B68BC" w:rsidRPr="00A236C8" w:rsidRDefault="004B68BC" w:rsidP="004B68BC">
            <w:pPr>
              <w:widowControl w:val="0"/>
              <w:ind w:left="0" w:firstLine="0"/>
              <w:contextualSpacing w:val="0"/>
              <w:rPr>
                <w:rFonts w:ascii="Arial" w:hAnsi="Arial" w:cs="Arial"/>
                <w:bCs/>
                <w:i/>
                <w:color w:val="000000" w:themeColor="text1"/>
                <w:sz w:val="22"/>
                <w:szCs w:val="22"/>
              </w:rPr>
            </w:pPr>
            <w:r w:rsidRPr="00A236C8">
              <w:rPr>
                <w:rFonts w:ascii="Arial" w:hAnsi="Arial" w:cs="Arial"/>
                <w:bCs/>
                <w:i/>
                <w:color w:val="000000" w:themeColor="text1"/>
                <w:sz w:val="22"/>
                <w:szCs w:val="22"/>
              </w:rPr>
              <w:t xml:space="preserve">STRATEGIC GOAL 1: Development, implementation and monitoring of the programme of measures for advancement of gender equality in the governmental institutions, as per priority areas </w:t>
            </w:r>
          </w:p>
          <w:p w14:paraId="029C7349" w14:textId="77777777" w:rsidR="004B68BC" w:rsidRPr="00A236C8" w:rsidRDefault="004B68BC" w:rsidP="004B68BC">
            <w:pPr>
              <w:widowControl w:val="0"/>
              <w:ind w:left="0" w:firstLine="0"/>
              <w:contextualSpacing w:val="0"/>
              <w:rPr>
                <w:rFonts w:ascii="Arial" w:hAnsi="Arial" w:cs="Arial"/>
                <w:bCs/>
                <w:i/>
                <w:color w:val="000000" w:themeColor="text1"/>
                <w:sz w:val="22"/>
                <w:szCs w:val="22"/>
              </w:rPr>
            </w:pPr>
            <w:r w:rsidRPr="00A236C8">
              <w:rPr>
                <w:rFonts w:ascii="Arial" w:hAnsi="Arial" w:cs="Arial"/>
                <w:bCs/>
                <w:i/>
                <w:color w:val="000000" w:themeColor="text1"/>
                <w:sz w:val="22"/>
                <w:szCs w:val="22"/>
              </w:rPr>
              <w:t>[…]</w:t>
            </w:r>
          </w:p>
          <w:p w14:paraId="46FF73D6" w14:textId="77777777" w:rsidR="004B68BC" w:rsidRPr="00A236C8" w:rsidRDefault="004B68BC" w:rsidP="004B68BC">
            <w:pPr>
              <w:widowControl w:val="0"/>
              <w:ind w:left="0" w:firstLine="0"/>
              <w:contextualSpacing w:val="0"/>
              <w:rPr>
                <w:rFonts w:ascii="Arial" w:hAnsi="Arial" w:cs="Arial"/>
                <w:bCs/>
                <w:i/>
                <w:color w:val="000000" w:themeColor="text1"/>
                <w:sz w:val="22"/>
                <w:szCs w:val="22"/>
              </w:rPr>
            </w:pPr>
            <w:r w:rsidRPr="00A236C8">
              <w:rPr>
                <w:rFonts w:ascii="Arial" w:hAnsi="Arial" w:cs="Arial"/>
                <w:bCs/>
                <w:i/>
                <w:color w:val="000000" w:themeColor="text1"/>
                <w:sz w:val="22"/>
                <w:szCs w:val="22"/>
              </w:rPr>
              <w:t>Principle of gender equality</w:t>
            </w:r>
          </w:p>
          <w:p w14:paraId="510BBB0D" w14:textId="77777777" w:rsidR="004B68BC" w:rsidRPr="00A236C8" w:rsidRDefault="004B68BC" w:rsidP="004B68BC">
            <w:pPr>
              <w:widowControl w:val="0"/>
              <w:ind w:left="0" w:firstLine="0"/>
              <w:contextualSpacing w:val="0"/>
              <w:rPr>
                <w:rFonts w:ascii="Arial" w:hAnsi="Arial" w:cs="Arial"/>
                <w:bCs/>
                <w:color w:val="000000" w:themeColor="text1"/>
                <w:sz w:val="22"/>
                <w:szCs w:val="22"/>
              </w:rPr>
            </w:pPr>
            <w:r w:rsidRPr="00A236C8">
              <w:rPr>
                <w:rFonts w:ascii="Arial" w:hAnsi="Arial" w:cs="Arial"/>
                <w:bCs/>
                <w:color w:val="000000" w:themeColor="text1"/>
                <w:sz w:val="22"/>
                <w:szCs w:val="22"/>
              </w:rPr>
              <w:t xml:space="preserve">According to needs, GAP BiH activities should be targeted to achieving gender equality with the aim to ensure that men and women have equal status, equal opportunities for realization of all rights, equal benefit from achieved results and that they are equally represented in all areas of public and private life. GAP BiH activities will be aimed at </w:t>
            </w:r>
            <w:r w:rsidRPr="00A236C8">
              <w:rPr>
                <w:rFonts w:ascii="Arial" w:hAnsi="Arial" w:cs="Arial"/>
                <w:bCs/>
                <w:color w:val="000000" w:themeColor="text1"/>
                <w:sz w:val="22"/>
                <w:szCs w:val="22"/>
              </w:rPr>
              <w:lastRenderedPageBreak/>
              <w:t>strengthening women in areas in which women are an especially excluded group, through the introduction of special measures envisaged by the Law on gender equality.</w:t>
            </w:r>
          </w:p>
          <w:p w14:paraId="4A13B831" w14:textId="77777777" w:rsidR="004B68BC" w:rsidRPr="00A236C8" w:rsidRDefault="004B68BC" w:rsidP="004B68BC">
            <w:pPr>
              <w:widowControl w:val="0"/>
              <w:ind w:left="0" w:firstLine="0"/>
              <w:contextualSpacing w:val="0"/>
              <w:rPr>
                <w:rFonts w:ascii="Arial" w:hAnsi="Arial" w:cs="Arial"/>
                <w:bCs/>
                <w:color w:val="000000" w:themeColor="text1"/>
                <w:sz w:val="22"/>
                <w:szCs w:val="22"/>
              </w:rPr>
            </w:pPr>
          </w:p>
          <w:p w14:paraId="718DFACD" w14:textId="77777777" w:rsidR="004B68BC" w:rsidRPr="00A236C8" w:rsidRDefault="004B68BC" w:rsidP="004B68BC">
            <w:pPr>
              <w:widowControl w:val="0"/>
              <w:ind w:left="0" w:firstLine="0"/>
              <w:contextualSpacing w:val="0"/>
              <w:rPr>
                <w:rFonts w:ascii="Arial" w:hAnsi="Arial" w:cs="Arial"/>
                <w:b/>
                <w:bCs/>
                <w:color w:val="000000" w:themeColor="text1"/>
                <w:sz w:val="22"/>
                <w:szCs w:val="22"/>
              </w:rPr>
            </w:pPr>
            <w:r w:rsidRPr="00A236C8">
              <w:rPr>
                <w:rFonts w:ascii="Arial" w:hAnsi="Arial" w:cs="Arial"/>
                <w:b/>
                <w:bCs/>
                <w:color w:val="000000" w:themeColor="text1"/>
                <w:sz w:val="22"/>
                <w:szCs w:val="22"/>
              </w:rPr>
              <w:t xml:space="preserve">The Law on Gender Equality, Official Gazette Bosnia and Herzegovina No. 32/2010 </w:t>
            </w:r>
          </w:p>
          <w:p w14:paraId="6EDB83DB" w14:textId="77777777" w:rsidR="004B68BC" w:rsidRPr="00A236C8" w:rsidRDefault="004B68BC" w:rsidP="004B68BC">
            <w:pPr>
              <w:widowControl w:val="0"/>
              <w:ind w:left="0" w:firstLine="0"/>
              <w:contextualSpacing w:val="0"/>
              <w:rPr>
                <w:rFonts w:ascii="Arial" w:hAnsi="Arial" w:cs="Arial"/>
                <w:bCs/>
                <w:color w:val="000000" w:themeColor="text1"/>
                <w:sz w:val="22"/>
                <w:szCs w:val="22"/>
              </w:rPr>
            </w:pPr>
            <w:r w:rsidRPr="00A236C8">
              <w:rPr>
                <w:rFonts w:ascii="Arial" w:hAnsi="Arial" w:cs="Arial"/>
                <w:bCs/>
                <w:color w:val="000000" w:themeColor="text1"/>
                <w:sz w:val="22"/>
                <w:szCs w:val="22"/>
              </w:rPr>
              <w:t>Article 20 (1): State bodies at all levels of organizations of authorities, and local self- government bodies, including legislative, executive and judicial authorities, political parties, legal persons with public authorities, legal persons that are in the state's property or under the state's control, entities, cantons, cities or municipalities whose work is under control of a public body, shall ensure and promote equal gender representation in process of managing, decision making and representation. This obligation shall exist for all authorized proponents during elections of representatives and delegations to international organizations and bodies.</w:t>
            </w:r>
          </w:p>
          <w:p w14:paraId="765E4C49" w14:textId="77777777" w:rsidR="004B68BC" w:rsidRPr="00A236C8" w:rsidRDefault="004B68BC" w:rsidP="004B68BC">
            <w:pPr>
              <w:widowControl w:val="0"/>
              <w:ind w:left="0" w:firstLine="0"/>
              <w:contextualSpacing w:val="0"/>
              <w:rPr>
                <w:rFonts w:ascii="Arial" w:hAnsi="Arial" w:cs="Arial"/>
                <w:bCs/>
                <w:color w:val="000000" w:themeColor="text1"/>
                <w:sz w:val="22"/>
                <w:szCs w:val="22"/>
              </w:rPr>
            </w:pPr>
            <w:r w:rsidRPr="00A236C8">
              <w:rPr>
                <w:rFonts w:ascii="Arial" w:hAnsi="Arial" w:cs="Arial"/>
                <w:bCs/>
                <w:color w:val="000000" w:themeColor="text1"/>
                <w:sz w:val="22"/>
                <w:szCs w:val="22"/>
              </w:rPr>
              <w:t>(2) Equal representation of women and men shall exist in case when one of sexes is represented with at least 40% in bodies from paragraph 1 of this Article.</w:t>
            </w:r>
          </w:p>
          <w:p w14:paraId="1AA183BC" w14:textId="77777777" w:rsidR="004B68BC" w:rsidRPr="00A236C8" w:rsidRDefault="004B68BC" w:rsidP="004B68BC">
            <w:pPr>
              <w:widowControl w:val="0"/>
              <w:ind w:left="0" w:firstLine="0"/>
              <w:contextualSpacing w:val="0"/>
              <w:rPr>
                <w:rFonts w:ascii="Arial" w:hAnsi="Arial" w:cs="Arial"/>
                <w:bCs/>
                <w:color w:val="000000" w:themeColor="text1"/>
                <w:sz w:val="22"/>
                <w:szCs w:val="22"/>
              </w:rPr>
            </w:pPr>
            <w:r w:rsidRPr="00A236C8">
              <w:rPr>
                <w:rFonts w:ascii="Arial" w:hAnsi="Arial" w:cs="Arial"/>
                <w:bCs/>
                <w:color w:val="000000" w:themeColor="text1"/>
                <w:sz w:val="22"/>
                <w:szCs w:val="22"/>
              </w:rPr>
              <w:t>(3) Discrimination on grounds of gender shall be considered situation in which there is no equal representation from paragraph 2 of this Article.</w:t>
            </w:r>
          </w:p>
          <w:p w14:paraId="41477679" w14:textId="77777777" w:rsidR="004B68BC" w:rsidRPr="005F4D3C" w:rsidRDefault="004B68BC" w:rsidP="004B68BC">
            <w:pPr>
              <w:widowControl w:val="0"/>
              <w:ind w:left="0" w:firstLine="0"/>
              <w:contextualSpacing w:val="0"/>
              <w:rPr>
                <w:rFonts w:ascii="Arial" w:hAnsi="Arial" w:cs="Arial"/>
                <w:color w:val="000000" w:themeColor="text1"/>
                <w:sz w:val="22"/>
                <w:szCs w:val="22"/>
              </w:rPr>
            </w:pPr>
            <w:r w:rsidRPr="00A236C8">
              <w:rPr>
                <w:rFonts w:ascii="Arial" w:hAnsi="Arial" w:cs="Arial"/>
                <w:bCs/>
                <w:color w:val="000000" w:themeColor="text1"/>
                <w:sz w:val="22"/>
                <w:szCs w:val="22"/>
              </w:rPr>
              <w:t>(4) Subjects given in paragraph 1 of this Article, in order to achieve equal gender representation are obliged to adopt temporary special measures prescribed with Article 6 of this Law.</w:t>
            </w:r>
          </w:p>
          <w:p w14:paraId="6D98DC1E" w14:textId="77777777" w:rsidR="004B68BC" w:rsidRDefault="004B68BC">
            <w:pPr>
              <w:widowControl w:val="0"/>
              <w:ind w:left="0" w:firstLine="0"/>
              <w:contextualSpacing w:val="0"/>
              <w:rPr>
                <w:rFonts w:ascii="Arial" w:hAnsi="Arial" w:cs="Arial"/>
                <w:color w:val="000000" w:themeColor="text1"/>
                <w:sz w:val="22"/>
                <w:szCs w:val="22"/>
              </w:rPr>
            </w:pPr>
          </w:p>
        </w:tc>
      </w:tr>
    </w:tbl>
    <w:p w14:paraId="115DFCBC" w14:textId="77777777" w:rsidR="00A236C8" w:rsidRDefault="00A236C8">
      <w:pPr>
        <w:widowControl w:val="0"/>
        <w:ind w:left="0" w:firstLine="0"/>
        <w:contextualSpacing w:val="0"/>
        <w:rPr>
          <w:rFonts w:ascii="Arial" w:hAnsi="Arial" w:cs="Arial"/>
          <w:color w:val="000000" w:themeColor="text1"/>
          <w:sz w:val="22"/>
          <w:szCs w:val="22"/>
        </w:rPr>
      </w:pPr>
    </w:p>
    <w:p w14:paraId="5DB572BD" w14:textId="77777777" w:rsidR="00A236C8" w:rsidRDefault="00A236C8">
      <w:pPr>
        <w:widowControl w:val="0"/>
        <w:ind w:left="0" w:firstLine="0"/>
        <w:contextualSpacing w:val="0"/>
        <w:rPr>
          <w:rFonts w:ascii="Arial" w:hAnsi="Arial" w:cs="Arial"/>
          <w:color w:val="000000" w:themeColor="text1"/>
          <w:sz w:val="22"/>
          <w:szCs w:val="22"/>
        </w:rPr>
      </w:pPr>
    </w:p>
    <w:p w14:paraId="14FFB094" w14:textId="77777777" w:rsidR="00A236C8" w:rsidRDefault="00A236C8">
      <w:pPr>
        <w:widowControl w:val="0"/>
        <w:ind w:left="0" w:firstLine="0"/>
        <w:contextualSpacing w:val="0"/>
        <w:rPr>
          <w:rFonts w:ascii="Arial" w:hAnsi="Arial" w:cs="Arial"/>
          <w:color w:val="000000" w:themeColor="text1"/>
          <w:sz w:val="22"/>
          <w:szCs w:val="22"/>
        </w:rPr>
      </w:pPr>
    </w:p>
    <w:p w14:paraId="3025D12B" w14:textId="77777777" w:rsidR="00A236C8" w:rsidRPr="00B4270F" w:rsidRDefault="00A236C8">
      <w:pPr>
        <w:widowControl w:val="0"/>
        <w:ind w:left="0" w:firstLine="0"/>
        <w:contextualSpacing w:val="0"/>
        <w:rPr>
          <w:rFonts w:ascii="Arial" w:hAnsi="Arial" w:cs="Arial"/>
          <w:color w:val="000000" w:themeColor="text1"/>
          <w:sz w:val="22"/>
          <w:szCs w:val="22"/>
        </w:rPr>
      </w:pPr>
    </w:p>
    <w:sectPr w:rsidR="00A236C8" w:rsidRPr="00B4270F" w:rsidSect="006C148C">
      <w:headerReference w:type="default" r:id="rId10"/>
      <w:footerReference w:type="default" r:id="rId11"/>
      <w:pgSz w:w="12240" w:h="15840"/>
      <w:pgMar w:top="1440" w:right="1440" w:bottom="1440" w:left="1440" w:header="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4D67D6" w14:textId="77777777" w:rsidR="00472187" w:rsidRDefault="00472187">
      <w:r>
        <w:separator/>
      </w:r>
    </w:p>
  </w:endnote>
  <w:endnote w:type="continuationSeparator" w:id="0">
    <w:p w14:paraId="1E891F68" w14:textId="77777777" w:rsidR="00472187" w:rsidRDefault="00472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Open Sans">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E6EC" w14:textId="4F7366AE" w:rsidR="00472187" w:rsidRDefault="00472187">
    <w:pPr>
      <w:contextualSpacing w:val="0"/>
      <w:jc w:val="right"/>
    </w:pPr>
    <w:r>
      <w:fldChar w:fldCharType="begin"/>
    </w:r>
    <w:r>
      <w:instrText>PAGE</w:instrText>
    </w:r>
    <w:r>
      <w:fldChar w:fldCharType="separate"/>
    </w:r>
    <w:r w:rsidR="007C59F1">
      <w:rPr>
        <w:noProof/>
      </w:rPr>
      <w:t>8</w:t>
    </w:r>
    <w:r>
      <w:fldChar w:fldCharType="end"/>
    </w:r>
    <w:r>
      <w:rPr>
        <w:sz w:val="22"/>
        <w:szCs w:val="22"/>
      </w:rPr>
      <w:t xml:space="preserve"> | </w:t>
    </w:r>
    <w:r>
      <w:rPr>
        <w:color w:val="7F7F7F"/>
        <w:sz w:val="22"/>
        <w:szCs w:val="22"/>
      </w:rPr>
      <w:t>Page</w:t>
    </w:r>
  </w:p>
  <w:p w14:paraId="61AE9A1D" w14:textId="77777777" w:rsidR="00472187" w:rsidRDefault="00472187">
    <w:pPr>
      <w:spacing w:after="720"/>
      <w:contextualSpacing w:val="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9CDED" w14:textId="77777777" w:rsidR="00472187" w:rsidRDefault="00472187">
      <w:r>
        <w:separator/>
      </w:r>
    </w:p>
  </w:footnote>
  <w:footnote w:type="continuationSeparator" w:id="0">
    <w:p w14:paraId="5375B690" w14:textId="77777777" w:rsidR="00472187" w:rsidRDefault="00472187">
      <w:r>
        <w:continuationSeparator/>
      </w:r>
    </w:p>
  </w:footnote>
  <w:footnote w:id="1">
    <w:p w14:paraId="0C3539DF" w14:textId="77777777" w:rsidR="00472187" w:rsidRPr="003F4F2D" w:rsidRDefault="00472187" w:rsidP="00045A41">
      <w:pPr>
        <w:pStyle w:val="FootnoteText"/>
        <w:ind w:left="425" w:firstLine="0"/>
        <w:jc w:val="left"/>
        <w:rPr>
          <w:rFonts w:ascii="Arial" w:hAnsi="Arial" w:cs="Arial"/>
          <w:color w:val="auto"/>
          <w:sz w:val="18"/>
          <w:szCs w:val="18"/>
          <w:lang w:val="en-GB"/>
        </w:rPr>
      </w:pPr>
      <w:r w:rsidRPr="003F4F2D">
        <w:rPr>
          <w:rStyle w:val="FootnoteReference"/>
          <w:rFonts w:ascii="Arial" w:hAnsi="Arial" w:cs="Arial"/>
          <w:sz w:val="18"/>
          <w:szCs w:val="18"/>
          <w:lang w:val="en-GB"/>
        </w:rPr>
        <w:footnoteRef/>
      </w:r>
      <w:r w:rsidRPr="003F4F2D">
        <w:rPr>
          <w:rFonts w:ascii="Arial" w:hAnsi="Arial" w:cs="Arial"/>
          <w:sz w:val="18"/>
          <w:szCs w:val="18"/>
          <w:lang w:val="en-GB"/>
        </w:rPr>
        <w:t xml:space="preserve"> </w:t>
      </w:r>
      <w:r w:rsidRPr="003F4F2D">
        <w:rPr>
          <w:rFonts w:ascii="Arial" w:hAnsi="Arial" w:cs="Arial"/>
          <w:color w:val="auto"/>
          <w:sz w:val="18"/>
          <w:szCs w:val="18"/>
          <w:lang w:val="en-GB"/>
        </w:rPr>
        <w:t xml:space="preserve">CEDAW, Concluding observations on the ninth periodic report of Norway (n.1), para 21; CEDAW, Concluding observations on the seventh periodic report of Italy (2017), CEDAW/C/ITA/CO/7, para 32. </w:t>
      </w:r>
    </w:p>
  </w:footnote>
  <w:footnote w:id="2">
    <w:p w14:paraId="70F9E5B0" w14:textId="77777777" w:rsidR="00472187" w:rsidRPr="003F4F2D" w:rsidRDefault="00472187" w:rsidP="00AD09C0">
      <w:pPr>
        <w:pStyle w:val="FootnoteText"/>
        <w:ind w:left="425" w:firstLine="0"/>
        <w:jc w:val="left"/>
        <w:rPr>
          <w:rFonts w:ascii="Arial" w:hAnsi="Arial" w:cs="Arial"/>
          <w:b/>
          <w:color w:val="auto"/>
          <w:sz w:val="18"/>
          <w:szCs w:val="18"/>
          <w:lang w:val="en-GB"/>
        </w:rPr>
      </w:pPr>
      <w:r w:rsidRPr="003F4F2D">
        <w:rPr>
          <w:rStyle w:val="FootnoteReference"/>
          <w:rFonts w:ascii="Arial" w:hAnsi="Arial" w:cs="Arial"/>
          <w:color w:val="auto"/>
          <w:sz w:val="18"/>
          <w:szCs w:val="18"/>
          <w:lang w:val="en-GB"/>
        </w:rPr>
        <w:footnoteRef/>
      </w:r>
      <w:r w:rsidRPr="007C7A06">
        <w:rPr>
          <w:rFonts w:ascii="Arial" w:hAnsi="Arial" w:cs="Arial"/>
          <w:color w:val="auto"/>
          <w:sz w:val="18"/>
          <w:szCs w:val="18"/>
          <w:lang w:val="it-IT"/>
        </w:rPr>
        <w:t xml:space="preserve"> CEDAW Genera Recommendation 34, (n. 1), para. </w:t>
      </w:r>
      <w:r w:rsidRPr="003F4F2D">
        <w:rPr>
          <w:rFonts w:ascii="Arial" w:hAnsi="Arial" w:cs="Arial"/>
          <w:color w:val="auto"/>
          <w:sz w:val="18"/>
          <w:szCs w:val="18"/>
          <w:lang w:val="en-GB"/>
        </w:rPr>
        <w:t>78; CEDAW, Concluding observations on the fourth periodic report of Albania (2016), para 42.</w:t>
      </w:r>
    </w:p>
  </w:footnote>
  <w:footnote w:id="3">
    <w:p w14:paraId="3DED7D52" w14:textId="77777777" w:rsidR="00472187" w:rsidRPr="003F4F2D" w:rsidRDefault="00472187" w:rsidP="00AD09C0">
      <w:pPr>
        <w:pStyle w:val="FootnoteText"/>
        <w:ind w:left="425" w:firstLine="0"/>
        <w:jc w:val="left"/>
        <w:rPr>
          <w:rFonts w:ascii="Arial" w:hAnsi="Arial" w:cs="Arial"/>
          <w:color w:val="auto"/>
          <w:sz w:val="18"/>
          <w:szCs w:val="18"/>
          <w:lang w:val="en-GB"/>
        </w:rPr>
      </w:pPr>
      <w:r w:rsidRPr="003F4F2D">
        <w:rPr>
          <w:rStyle w:val="FootnoteReference"/>
          <w:rFonts w:ascii="Arial" w:hAnsi="Arial" w:cs="Arial"/>
          <w:color w:val="auto"/>
          <w:sz w:val="18"/>
          <w:szCs w:val="18"/>
          <w:lang w:val="en-GB"/>
        </w:rPr>
        <w:footnoteRef/>
      </w:r>
      <w:r w:rsidRPr="003F4F2D">
        <w:rPr>
          <w:rFonts w:ascii="Arial" w:hAnsi="Arial" w:cs="Arial"/>
          <w:color w:val="auto"/>
          <w:sz w:val="18"/>
          <w:szCs w:val="18"/>
          <w:lang w:val="en-GB"/>
        </w:rPr>
        <w:t xml:space="preserve"> FAO, GIZ, </w:t>
      </w:r>
      <w:r w:rsidRPr="003F4F2D">
        <w:rPr>
          <w:rFonts w:ascii="Arial" w:eastAsia="Times New Roman" w:hAnsi="Arial" w:cs="Arial"/>
          <w:color w:val="auto"/>
          <w:sz w:val="18"/>
          <w:szCs w:val="18"/>
          <w:lang w:val="en-GB" w:eastAsia="it-IT"/>
        </w:rPr>
        <w:t>Guidelines on Strengthening Gender Equality in Notarial Practices – South- East Europe, (2019), P.12.</w:t>
      </w:r>
    </w:p>
  </w:footnote>
  <w:footnote w:id="4">
    <w:p w14:paraId="5AED9611" w14:textId="77777777" w:rsidR="00472187" w:rsidRPr="003F4F2D" w:rsidRDefault="00472187" w:rsidP="00AD09C0">
      <w:pPr>
        <w:pStyle w:val="FootnoteText"/>
        <w:ind w:left="425" w:firstLine="0"/>
        <w:jc w:val="left"/>
        <w:rPr>
          <w:rFonts w:ascii="Arial" w:hAnsi="Arial" w:cs="Arial"/>
          <w:color w:val="auto"/>
          <w:sz w:val="18"/>
          <w:szCs w:val="18"/>
          <w:lang w:val="es-CO"/>
        </w:rPr>
      </w:pPr>
      <w:r w:rsidRPr="003F4F2D">
        <w:rPr>
          <w:rStyle w:val="FootnoteReference"/>
          <w:rFonts w:ascii="Arial" w:hAnsi="Arial" w:cs="Arial"/>
          <w:color w:val="auto"/>
          <w:sz w:val="18"/>
          <w:szCs w:val="18"/>
        </w:rPr>
        <w:footnoteRef/>
      </w:r>
      <w:r w:rsidRPr="003F4F2D">
        <w:rPr>
          <w:rFonts w:ascii="Arial" w:hAnsi="Arial" w:cs="Arial"/>
          <w:color w:val="auto"/>
          <w:sz w:val="18"/>
          <w:szCs w:val="18"/>
          <w:lang w:val="es-CO"/>
        </w:rPr>
        <w:t xml:space="preserve"> </w:t>
      </w:r>
      <w:r w:rsidRPr="003F4F2D">
        <w:rPr>
          <w:rFonts w:ascii="Arial" w:eastAsia="Times New Roman" w:hAnsi="Arial" w:cs="Arial"/>
          <w:color w:val="auto"/>
          <w:sz w:val="18"/>
          <w:szCs w:val="18"/>
          <w:lang w:val="es-CO" w:eastAsia="it-IT"/>
        </w:rPr>
        <w:t>FAO, GIZ, (n.6)</w:t>
      </w:r>
      <w:r w:rsidRPr="003F4F2D">
        <w:rPr>
          <w:rFonts w:ascii="Arial" w:eastAsia="Times New Roman" w:hAnsi="Arial" w:cs="Arial"/>
          <w:i/>
          <w:color w:val="auto"/>
          <w:sz w:val="18"/>
          <w:szCs w:val="18"/>
          <w:lang w:val="es-CO" w:eastAsia="it-IT"/>
        </w:rPr>
        <w:t xml:space="preserve">, </w:t>
      </w:r>
      <w:r w:rsidRPr="003F4F2D">
        <w:rPr>
          <w:rFonts w:ascii="Arial" w:eastAsia="Times New Roman" w:hAnsi="Arial" w:cs="Arial"/>
          <w:color w:val="auto"/>
          <w:sz w:val="18"/>
          <w:szCs w:val="18"/>
          <w:lang w:val="es-CO" w:eastAsia="it-IT"/>
        </w:rPr>
        <w:t>p. 23.</w:t>
      </w:r>
    </w:p>
  </w:footnote>
  <w:footnote w:id="5">
    <w:p w14:paraId="67A2FDDD" w14:textId="77777777" w:rsidR="00472187" w:rsidRPr="003F4F2D" w:rsidRDefault="00472187" w:rsidP="00AD09C0">
      <w:pPr>
        <w:pStyle w:val="FootnoteText"/>
        <w:ind w:left="425" w:firstLine="0"/>
        <w:jc w:val="left"/>
        <w:rPr>
          <w:rFonts w:ascii="Arial" w:hAnsi="Arial" w:cs="Arial"/>
          <w:color w:val="auto"/>
          <w:sz w:val="18"/>
          <w:szCs w:val="18"/>
          <w:lang w:val="es-CO"/>
        </w:rPr>
      </w:pPr>
      <w:r w:rsidRPr="003F4F2D">
        <w:rPr>
          <w:rStyle w:val="FootnoteReference"/>
          <w:rFonts w:ascii="Arial" w:hAnsi="Arial" w:cs="Arial"/>
          <w:color w:val="auto"/>
          <w:sz w:val="18"/>
          <w:szCs w:val="18"/>
        </w:rPr>
        <w:footnoteRef/>
      </w:r>
      <w:r w:rsidRPr="003F4F2D">
        <w:rPr>
          <w:rFonts w:ascii="Arial" w:hAnsi="Arial" w:cs="Arial"/>
          <w:color w:val="auto"/>
          <w:sz w:val="18"/>
          <w:szCs w:val="18"/>
          <w:lang w:val="es-CO"/>
        </w:rPr>
        <w:t xml:space="preserve"> </w:t>
      </w:r>
      <w:r w:rsidRPr="003F4F2D">
        <w:rPr>
          <w:rFonts w:ascii="Arial" w:eastAsia="Times New Roman" w:hAnsi="Arial" w:cs="Arial"/>
          <w:i/>
          <w:color w:val="auto"/>
          <w:sz w:val="18"/>
          <w:szCs w:val="18"/>
          <w:lang w:val="es-CO" w:eastAsia="it-IT"/>
        </w:rPr>
        <w:t>Ibidem.</w:t>
      </w:r>
    </w:p>
  </w:footnote>
  <w:footnote w:id="6">
    <w:p w14:paraId="72F1F281" w14:textId="77777777" w:rsidR="00472187" w:rsidRPr="003F4F2D" w:rsidRDefault="00472187" w:rsidP="00AD09C0">
      <w:pPr>
        <w:pStyle w:val="FootnoteText"/>
        <w:tabs>
          <w:tab w:val="left" w:pos="284"/>
        </w:tabs>
        <w:ind w:left="425" w:firstLine="0"/>
        <w:jc w:val="left"/>
        <w:rPr>
          <w:rFonts w:ascii="Arial" w:hAnsi="Arial" w:cs="Arial"/>
          <w:color w:val="auto"/>
          <w:sz w:val="18"/>
          <w:szCs w:val="18"/>
          <w:lang w:val="en-GB"/>
        </w:rPr>
      </w:pPr>
      <w:r w:rsidRPr="003F4F2D">
        <w:rPr>
          <w:rStyle w:val="FootnoteReference"/>
          <w:rFonts w:ascii="Arial" w:hAnsi="Arial" w:cs="Arial"/>
          <w:color w:val="auto"/>
          <w:sz w:val="18"/>
          <w:szCs w:val="18"/>
        </w:rPr>
        <w:footnoteRef/>
      </w:r>
      <w:r w:rsidRPr="003F4F2D">
        <w:rPr>
          <w:rFonts w:ascii="Arial" w:hAnsi="Arial" w:cs="Arial"/>
          <w:color w:val="auto"/>
          <w:sz w:val="18"/>
          <w:szCs w:val="18"/>
        </w:rPr>
        <w:t xml:space="preserve"> These home rights include the right to live in the family home and not be made to leave from the family home, unless there is an occupation order stating that spouse must leave.</w:t>
      </w:r>
    </w:p>
  </w:footnote>
  <w:footnote w:id="7">
    <w:p w14:paraId="46F13C4B" w14:textId="77777777" w:rsidR="00472187" w:rsidRPr="003F4F2D" w:rsidRDefault="00472187" w:rsidP="00AD09C0">
      <w:pPr>
        <w:pStyle w:val="FootnoteText"/>
        <w:tabs>
          <w:tab w:val="left" w:pos="284"/>
        </w:tabs>
        <w:ind w:left="425" w:firstLine="0"/>
        <w:jc w:val="left"/>
        <w:rPr>
          <w:rFonts w:ascii="Arial" w:hAnsi="Arial" w:cs="Arial"/>
          <w:sz w:val="18"/>
          <w:szCs w:val="18"/>
          <w:lang w:val="en-GB"/>
        </w:rPr>
      </w:pPr>
      <w:r w:rsidRPr="003F4F2D">
        <w:rPr>
          <w:rStyle w:val="FootnoteReference"/>
          <w:rFonts w:ascii="Arial" w:hAnsi="Arial" w:cs="Arial"/>
          <w:color w:val="auto"/>
          <w:sz w:val="18"/>
          <w:szCs w:val="18"/>
        </w:rPr>
        <w:footnoteRef/>
      </w:r>
      <w:r w:rsidRPr="003F4F2D">
        <w:rPr>
          <w:rFonts w:ascii="Arial" w:hAnsi="Arial" w:cs="Arial"/>
          <w:color w:val="auto"/>
          <w:sz w:val="18"/>
          <w:szCs w:val="18"/>
        </w:rPr>
        <w:t xml:space="preserve"> See: &lt;https://rightsofwomen.org.uk/get-information/family-law/marriage-your-rights-to-your-home/#Why%20do I need to register my home rights?&gt;</w:t>
      </w:r>
      <w:r w:rsidRPr="003F4F2D">
        <w:rPr>
          <w:rFonts w:ascii="Arial" w:hAnsi="Arial" w:cs="Arial"/>
          <w:sz w:val="18"/>
          <w:szCs w:val="18"/>
        </w:rPr>
        <w:t xml:space="preserve"> </w:t>
      </w:r>
    </w:p>
  </w:footnote>
  <w:footnote w:id="8">
    <w:p w14:paraId="2FA2E5C9" w14:textId="77777777" w:rsidR="00472187" w:rsidRPr="003F4F2D" w:rsidRDefault="00472187" w:rsidP="00AD09C0">
      <w:pPr>
        <w:pStyle w:val="FootnoteText"/>
        <w:tabs>
          <w:tab w:val="left" w:pos="284"/>
        </w:tabs>
        <w:ind w:left="425" w:firstLine="0"/>
        <w:jc w:val="left"/>
        <w:rPr>
          <w:rFonts w:ascii="Arial" w:hAnsi="Arial" w:cs="Arial"/>
          <w:sz w:val="18"/>
          <w:szCs w:val="18"/>
          <w:lang w:val="en-GB"/>
        </w:rPr>
      </w:pPr>
      <w:r w:rsidRPr="003F4F2D">
        <w:rPr>
          <w:rStyle w:val="FootnoteReference"/>
          <w:rFonts w:ascii="Arial" w:hAnsi="Arial" w:cs="Arial"/>
          <w:sz w:val="18"/>
          <w:szCs w:val="18"/>
        </w:rPr>
        <w:footnoteRef/>
      </w:r>
      <w:r w:rsidRPr="003F4F2D">
        <w:rPr>
          <w:rFonts w:ascii="Arial" w:hAnsi="Arial" w:cs="Arial"/>
          <w:sz w:val="18"/>
          <w:szCs w:val="18"/>
        </w:rPr>
        <w:t xml:space="preserve"> </w:t>
      </w:r>
      <w:hyperlink r:id="rId1" w:history="1">
        <w:r w:rsidRPr="003F4F2D">
          <w:rPr>
            <w:rStyle w:val="Hyperlink"/>
            <w:rFonts w:ascii="Arial" w:hAnsi="Arial" w:cs="Arial"/>
            <w:sz w:val="18"/>
            <w:szCs w:val="18"/>
          </w:rPr>
          <w:t>https://wbg.org.uk/wp-content/uploads/2015/02/Gender-and-Poverty-Briefing-June-2015.pdf</w:t>
        </w:r>
      </w:hyperlink>
      <w:r w:rsidRPr="003F4F2D">
        <w:rPr>
          <w:rFonts w:ascii="Arial" w:hAnsi="Arial" w:cs="Arial"/>
          <w:sz w:val="18"/>
          <w:szCs w:val="18"/>
        </w:rPr>
        <w:t xml:space="preserve"> </w:t>
      </w:r>
    </w:p>
  </w:footnote>
  <w:footnote w:id="9">
    <w:p w14:paraId="17561003" w14:textId="77777777" w:rsidR="00472187" w:rsidRPr="00107D5B" w:rsidRDefault="00472187" w:rsidP="00D528E0">
      <w:pPr>
        <w:pStyle w:val="FootnoteText"/>
        <w:ind w:hanging="294"/>
        <w:rPr>
          <w:sz w:val="18"/>
          <w:szCs w:val="18"/>
          <w:lang w:val="fr-FR"/>
        </w:rPr>
      </w:pPr>
      <w:r w:rsidRPr="00D528E0">
        <w:rPr>
          <w:rStyle w:val="FootnoteReference"/>
          <w:sz w:val="18"/>
          <w:szCs w:val="18"/>
        </w:rPr>
        <w:footnoteRef/>
      </w:r>
      <w:r w:rsidRPr="00107D5B">
        <w:rPr>
          <w:sz w:val="18"/>
          <w:szCs w:val="18"/>
          <w:lang w:val="fr-FR"/>
        </w:rPr>
        <w:t xml:space="preserve"> </w:t>
      </w:r>
      <w:r w:rsidRPr="003F4F2D">
        <w:rPr>
          <w:rFonts w:ascii="Arial" w:eastAsia="Times New Roman" w:hAnsi="Arial" w:cs="Arial"/>
          <w:i/>
          <w:color w:val="auto"/>
          <w:sz w:val="18"/>
          <w:szCs w:val="18"/>
          <w:lang w:val="fr-FR" w:eastAsia="it-IT"/>
        </w:rPr>
        <w:t xml:space="preserve">Ibid., </w:t>
      </w:r>
      <w:r w:rsidRPr="003F4F2D">
        <w:rPr>
          <w:rFonts w:ascii="Arial" w:eastAsia="Times New Roman" w:hAnsi="Arial" w:cs="Arial"/>
          <w:color w:val="auto"/>
          <w:sz w:val="18"/>
          <w:szCs w:val="18"/>
          <w:lang w:val="fr-FR" w:eastAsia="it-IT"/>
        </w:rPr>
        <w:t>P. 16.</w:t>
      </w:r>
    </w:p>
  </w:footnote>
  <w:footnote w:id="10">
    <w:p w14:paraId="5BB0FB36" w14:textId="77777777" w:rsidR="00472187" w:rsidRPr="003F4F2D" w:rsidRDefault="00472187" w:rsidP="00830362">
      <w:pPr>
        <w:pStyle w:val="FootnoteText"/>
        <w:ind w:left="425" w:firstLine="0"/>
        <w:jc w:val="left"/>
        <w:rPr>
          <w:rFonts w:ascii="Arial" w:hAnsi="Arial" w:cs="Arial"/>
          <w:color w:val="auto"/>
          <w:sz w:val="18"/>
          <w:szCs w:val="18"/>
          <w:lang w:val="fr-FR"/>
        </w:rPr>
      </w:pPr>
      <w:r w:rsidRPr="003F4F2D">
        <w:rPr>
          <w:rStyle w:val="FootnoteReference"/>
          <w:rFonts w:ascii="Arial" w:hAnsi="Arial" w:cs="Arial"/>
          <w:color w:val="auto"/>
          <w:sz w:val="18"/>
          <w:szCs w:val="18"/>
        </w:rPr>
        <w:footnoteRef/>
      </w:r>
      <w:r w:rsidRPr="003F4F2D">
        <w:rPr>
          <w:rFonts w:ascii="Arial" w:hAnsi="Arial" w:cs="Arial"/>
          <w:color w:val="auto"/>
          <w:sz w:val="18"/>
          <w:szCs w:val="18"/>
          <w:lang w:val="fr-FR"/>
        </w:rPr>
        <w:t xml:space="preserve"> </w:t>
      </w:r>
      <w:hyperlink r:id="rId2" w:history="1">
        <w:r w:rsidRPr="003F4F2D">
          <w:rPr>
            <w:rStyle w:val="Hyperlink"/>
            <w:rFonts w:ascii="Arial" w:hAnsi="Arial" w:cs="Arial"/>
            <w:color w:val="auto"/>
            <w:sz w:val="18"/>
            <w:szCs w:val="18"/>
            <w:lang w:val="fr-FR"/>
          </w:rPr>
          <w:t>Décret n°55-22 du 4 janvier 1955 portant réforme de la publicité foncière</w:t>
        </w:r>
      </w:hyperlink>
      <w:r w:rsidRPr="003F4F2D">
        <w:rPr>
          <w:rFonts w:ascii="Arial" w:hAnsi="Arial" w:cs="Arial"/>
          <w:color w:val="auto"/>
          <w:sz w:val="18"/>
          <w:szCs w:val="18"/>
          <w:lang w:val="fr-FR"/>
        </w:rPr>
        <w:t>, Art. 1, 5, 28.</w:t>
      </w:r>
    </w:p>
  </w:footnote>
  <w:footnote w:id="11">
    <w:p w14:paraId="2FA22255" w14:textId="77777777" w:rsidR="00472187" w:rsidRPr="003F4F2D" w:rsidRDefault="00472187" w:rsidP="00801BAF">
      <w:pPr>
        <w:pStyle w:val="FootnoteText"/>
        <w:ind w:left="425" w:firstLine="0"/>
        <w:jc w:val="left"/>
        <w:rPr>
          <w:rFonts w:ascii="Arial" w:hAnsi="Arial" w:cs="Arial"/>
          <w:b/>
          <w:bCs/>
          <w:color w:val="auto"/>
          <w:sz w:val="18"/>
          <w:szCs w:val="18"/>
        </w:rPr>
      </w:pPr>
      <w:r w:rsidRPr="003F4F2D">
        <w:rPr>
          <w:rStyle w:val="FootnoteReference"/>
          <w:rFonts w:ascii="Arial" w:hAnsi="Arial" w:cs="Arial"/>
          <w:color w:val="auto"/>
          <w:sz w:val="18"/>
          <w:szCs w:val="18"/>
        </w:rPr>
        <w:footnoteRef/>
      </w:r>
      <w:r w:rsidRPr="003F4F2D">
        <w:rPr>
          <w:rFonts w:ascii="Arial" w:hAnsi="Arial" w:cs="Arial"/>
          <w:color w:val="auto"/>
          <w:sz w:val="18"/>
          <w:szCs w:val="18"/>
        </w:rPr>
        <w:t xml:space="preserve"> </w:t>
      </w:r>
      <w:hyperlink r:id="rId3" w:history="1">
        <w:r w:rsidRPr="003F4F2D">
          <w:rPr>
            <w:rStyle w:val="Hyperlink"/>
            <w:rFonts w:ascii="Arial" w:hAnsi="Arial" w:cs="Arial"/>
            <w:bCs/>
            <w:color w:val="auto"/>
            <w:sz w:val="18"/>
            <w:szCs w:val="18"/>
          </w:rPr>
          <w:t>Law No. 33/2012 “On registration of immovable property” (amended)</w:t>
        </w:r>
      </w:hyperlink>
      <w:r w:rsidRPr="003F4F2D">
        <w:rPr>
          <w:rFonts w:ascii="Arial" w:hAnsi="Arial" w:cs="Arial"/>
          <w:bCs/>
          <w:color w:val="auto"/>
          <w:sz w:val="18"/>
          <w:szCs w:val="18"/>
          <w:u w:val="single"/>
        </w:rPr>
        <w:t>,</w:t>
      </w:r>
      <w:r w:rsidRPr="003F4F2D">
        <w:rPr>
          <w:rFonts w:ascii="Arial" w:hAnsi="Arial" w:cs="Arial"/>
          <w:bCs/>
          <w:color w:val="auto"/>
          <w:sz w:val="18"/>
          <w:szCs w:val="18"/>
        </w:rPr>
        <w:t xml:space="preserve"> Art. 41.</w:t>
      </w:r>
      <w:r w:rsidRPr="003F4F2D">
        <w:rPr>
          <w:rFonts w:ascii="Arial" w:hAnsi="Arial" w:cs="Arial"/>
          <w:bCs/>
          <w:color w:val="auto"/>
          <w:sz w:val="18"/>
          <w:szCs w:val="18"/>
          <w:u w:val="single"/>
        </w:rPr>
        <w:t xml:space="preserve"> </w:t>
      </w:r>
    </w:p>
  </w:footnote>
  <w:footnote w:id="12">
    <w:p w14:paraId="7A0BD6F0" w14:textId="77777777" w:rsidR="00472187" w:rsidRPr="003F4F2D" w:rsidRDefault="00472187" w:rsidP="00801BAF">
      <w:pPr>
        <w:pStyle w:val="FootnoteText"/>
        <w:ind w:left="425" w:firstLine="0"/>
        <w:jc w:val="left"/>
        <w:rPr>
          <w:rFonts w:ascii="Arial" w:hAnsi="Arial" w:cs="Arial"/>
          <w:b/>
          <w:color w:val="auto"/>
          <w:sz w:val="18"/>
          <w:szCs w:val="18"/>
        </w:rPr>
      </w:pPr>
      <w:r w:rsidRPr="003F4F2D">
        <w:rPr>
          <w:rStyle w:val="FootnoteReference"/>
          <w:rFonts w:ascii="Arial" w:hAnsi="Arial" w:cs="Arial"/>
          <w:color w:val="auto"/>
          <w:sz w:val="18"/>
          <w:szCs w:val="18"/>
        </w:rPr>
        <w:footnoteRef/>
      </w:r>
      <w:r w:rsidRPr="003F4F2D">
        <w:rPr>
          <w:rFonts w:ascii="Arial" w:hAnsi="Arial" w:cs="Arial"/>
          <w:color w:val="auto"/>
          <w:sz w:val="18"/>
          <w:szCs w:val="18"/>
        </w:rPr>
        <w:t xml:space="preserve"> </w:t>
      </w:r>
      <w:hyperlink r:id="rId4" w:history="1">
        <w:r w:rsidRPr="003F4F2D">
          <w:rPr>
            <w:rStyle w:val="Hyperlink"/>
            <w:rFonts w:ascii="Arial" w:hAnsi="Arial" w:cs="Arial"/>
            <w:color w:val="auto"/>
            <w:sz w:val="18"/>
            <w:szCs w:val="18"/>
          </w:rPr>
          <w:t>The Family Law, (No. 18/2005, 72/2001 – other law, and 6/2015)</w:t>
        </w:r>
      </w:hyperlink>
      <w:r w:rsidRPr="003F4F2D">
        <w:rPr>
          <w:rStyle w:val="Hyperlink"/>
          <w:rFonts w:ascii="Arial" w:hAnsi="Arial" w:cs="Arial"/>
          <w:color w:val="auto"/>
          <w:sz w:val="18"/>
          <w:szCs w:val="18"/>
        </w:rPr>
        <w:t xml:space="preserve">, </w:t>
      </w:r>
      <w:r w:rsidRPr="003F4F2D">
        <w:rPr>
          <w:rStyle w:val="Hyperlink"/>
          <w:rFonts w:ascii="Arial" w:hAnsi="Arial" w:cs="Arial"/>
          <w:color w:val="auto"/>
          <w:sz w:val="18"/>
          <w:szCs w:val="18"/>
          <w:u w:val="none"/>
        </w:rPr>
        <w:t xml:space="preserve">Ar. 171, 176; </w:t>
      </w:r>
      <w:hyperlink r:id="rId5" w:history="1">
        <w:r w:rsidRPr="003F4F2D">
          <w:rPr>
            <w:rStyle w:val="Hyperlink"/>
            <w:rFonts w:ascii="Arial" w:hAnsi="Arial" w:cs="Arial"/>
            <w:color w:val="auto"/>
            <w:sz w:val="18"/>
            <w:szCs w:val="18"/>
          </w:rPr>
          <w:t>Law on State Survey and Cadaster (No.72/2009, 18/2010, 65/2013, 15/2015)</w:t>
        </w:r>
      </w:hyperlink>
      <w:r w:rsidRPr="003F4F2D">
        <w:rPr>
          <w:rFonts w:ascii="Arial" w:hAnsi="Arial" w:cs="Arial"/>
          <w:color w:val="auto"/>
          <w:sz w:val="18"/>
          <w:szCs w:val="18"/>
        </w:rPr>
        <w:t xml:space="preserve">, Art. 61, 76; </w:t>
      </w:r>
      <w:hyperlink r:id="rId6" w:history="1">
        <w:r w:rsidRPr="003F4F2D">
          <w:rPr>
            <w:rStyle w:val="Hyperlink"/>
            <w:rFonts w:ascii="Arial" w:hAnsi="Arial" w:cs="Arial"/>
            <w:color w:val="auto"/>
            <w:sz w:val="18"/>
            <w:szCs w:val="18"/>
          </w:rPr>
          <w:t>Rule-book on the amount of fees for the Republic Geodetic Authority services, 2017</w:t>
        </w:r>
      </w:hyperlink>
      <w:r w:rsidRPr="003F4F2D">
        <w:rPr>
          <w:rFonts w:ascii="Arial" w:hAnsi="Arial" w:cs="Arial"/>
          <w:b/>
          <w:color w:val="auto"/>
          <w:sz w:val="18"/>
          <w:szCs w:val="18"/>
          <w:u w:val="single"/>
        </w:rPr>
        <w:t>,</w:t>
      </w:r>
      <w:r w:rsidRPr="003F4F2D">
        <w:rPr>
          <w:rFonts w:ascii="Arial" w:hAnsi="Arial" w:cs="Arial"/>
          <w:b/>
          <w:color w:val="auto"/>
          <w:sz w:val="18"/>
          <w:szCs w:val="18"/>
        </w:rPr>
        <w:t xml:space="preserve"> </w:t>
      </w:r>
      <w:r w:rsidRPr="003F4F2D">
        <w:rPr>
          <w:rFonts w:ascii="Arial" w:hAnsi="Arial" w:cs="Arial"/>
          <w:color w:val="auto"/>
          <w:sz w:val="18"/>
          <w:szCs w:val="18"/>
        </w:rPr>
        <w:t>Section: Registration of changes in the real estate cadastre database.</w:t>
      </w:r>
    </w:p>
  </w:footnote>
  <w:footnote w:id="13">
    <w:p w14:paraId="3341C101" w14:textId="77777777" w:rsidR="00472187" w:rsidRDefault="00472187">
      <w:pPr>
        <w:pStyle w:val="FootnoteText"/>
      </w:pPr>
      <w:r>
        <w:rPr>
          <w:rFonts w:ascii="Arial" w:hAnsi="Arial" w:cs="Arial"/>
          <w:color w:val="auto"/>
          <w:sz w:val="18"/>
          <w:szCs w:val="18"/>
        </w:rPr>
        <w:t xml:space="preserve"> </w:t>
      </w:r>
      <w:r w:rsidRPr="00122600">
        <w:rPr>
          <w:rStyle w:val="FootnoteReference"/>
          <w:rFonts w:ascii="Arial" w:hAnsi="Arial" w:cs="Arial"/>
          <w:color w:val="auto"/>
          <w:sz w:val="18"/>
          <w:szCs w:val="18"/>
        </w:rPr>
        <w:footnoteRef/>
      </w:r>
      <w:r w:rsidRPr="00122600">
        <w:rPr>
          <w:rStyle w:val="FootnoteReference"/>
          <w:rFonts w:ascii="Arial" w:hAnsi="Arial" w:cs="Arial"/>
          <w:color w:val="auto"/>
          <w:sz w:val="18"/>
          <w:szCs w:val="18"/>
        </w:rPr>
        <w:t xml:space="preserve"> </w:t>
      </w:r>
      <w:r>
        <w:rPr>
          <w:rFonts w:ascii="Arial" w:hAnsi="Arial" w:cs="Arial"/>
          <w:color w:val="auto"/>
          <w:sz w:val="18"/>
          <w:szCs w:val="18"/>
        </w:rPr>
        <w:t>CEDAW (2016), Recommendation 34, paragraphs 52 b), 68 and 69.</w:t>
      </w:r>
    </w:p>
  </w:footnote>
  <w:footnote w:id="14">
    <w:p w14:paraId="7C961B1A" w14:textId="77777777" w:rsidR="00472187" w:rsidRPr="003F4F2D" w:rsidRDefault="00472187" w:rsidP="00830362">
      <w:pPr>
        <w:pStyle w:val="FootnoteText"/>
        <w:ind w:left="425" w:firstLine="0"/>
        <w:jc w:val="left"/>
        <w:rPr>
          <w:rFonts w:ascii="Arial" w:hAnsi="Arial" w:cs="Arial"/>
          <w:color w:val="auto"/>
          <w:sz w:val="18"/>
          <w:szCs w:val="18"/>
          <w:lang w:val="en-AU"/>
        </w:rPr>
      </w:pPr>
      <w:r w:rsidRPr="003F4F2D">
        <w:rPr>
          <w:rStyle w:val="FootnoteReference"/>
          <w:rFonts w:ascii="Arial" w:hAnsi="Arial" w:cs="Arial"/>
          <w:color w:val="auto"/>
          <w:sz w:val="18"/>
          <w:szCs w:val="18"/>
        </w:rPr>
        <w:footnoteRef/>
      </w:r>
      <w:r w:rsidRPr="003F4F2D">
        <w:rPr>
          <w:rFonts w:ascii="Arial" w:hAnsi="Arial" w:cs="Arial"/>
          <w:color w:val="auto"/>
          <w:sz w:val="18"/>
          <w:szCs w:val="18"/>
        </w:rPr>
        <w:t xml:space="preserve"> </w:t>
      </w:r>
      <w:r w:rsidRPr="003F4F2D">
        <w:rPr>
          <w:rFonts w:ascii="Arial" w:hAnsi="Arial" w:cs="Arial"/>
          <w:color w:val="auto"/>
          <w:sz w:val="18"/>
          <w:szCs w:val="18"/>
          <w:lang w:val="en-AU"/>
        </w:rPr>
        <w:t>OECD (2014), Women, Government and Policy Making in OECD Countries: Fostering Diversity for Inclusive Growth, OECD Publishing, Paris, </w:t>
      </w:r>
      <w:hyperlink r:id="rId7" w:history="1">
        <w:r w:rsidRPr="003F4F2D">
          <w:rPr>
            <w:rStyle w:val="Hyperlink"/>
            <w:rFonts w:ascii="Arial" w:hAnsi="Arial" w:cs="Arial"/>
            <w:color w:val="auto"/>
            <w:sz w:val="18"/>
            <w:szCs w:val="18"/>
            <w:lang w:val="en-AU"/>
          </w:rPr>
          <w:t>https://doi.org/10.1787/9789264210745-en</w:t>
        </w:r>
      </w:hyperlink>
      <w:r w:rsidRPr="003F4F2D">
        <w:rPr>
          <w:rFonts w:ascii="Arial" w:hAnsi="Arial" w:cs="Arial"/>
          <w:color w:val="auto"/>
          <w:sz w:val="18"/>
          <w:szCs w:val="18"/>
          <w:lang w:val="en-AU"/>
        </w:rPr>
        <w:t>, 24.</w:t>
      </w:r>
    </w:p>
  </w:footnote>
  <w:footnote w:id="15">
    <w:p w14:paraId="259AA92F" w14:textId="77777777" w:rsidR="00472187" w:rsidRPr="003F4F2D" w:rsidRDefault="00472187" w:rsidP="00830362">
      <w:pPr>
        <w:ind w:left="425" w:firstLine="0"/>
        <w:jc w:val="left"/>
        <w:rPr>
          <w:rFonts w:ascii="Arial" w:eastAsia="Times New Roman" w:hAnsi="Arial" w:cs="Arial"/>
          <w:color w:val="auto"/>
          <w:sz w:val="18"/>
          <w:szCs w:val="18"/>
          <w:lang w:val="en-AU" w:eastAsia="it-IT"/>
        </w:rPr>
      </w:pPr>
      <w:r w:rsidRPr="003F4F2D">
        <w:rPr>
          <w:rStyle w:val="FootnoteReference"/>
          <w:rFonts w:ascii="Arial" w:hAnsi="Arial" w:cs="Arial"/>
          <w:sz w:val="18"/>
          <w:szCs w:val="18"/>
          <w:lang w:val="en-AU"/>
        </w:rPr>
        <w:footnoteRef/>
      </w:r>
      <w:r w:rsidRPr="003F4F2D">
        <w:rPr>
          <w:rFonts w:ascii="Arial" w:hAnsi="Arial" w:cs="Arial"/>
          <w:sz w:val="18"/>
          <w:szCs w:val="18"/>
          <w:lang w:val="en-AU"/>
        </w:rPr>
        <w:t xml:space="preserve"> </w:t>
      </w:r>
      <w:r w:rsidRPr="003F4F2D">
        <w:rPr>
          <w:rFonts w:ascii="Arial" w:hAnsi="Arial" w:cs="Arial"/>
          <w:color w:val="000000" w:themeColor="text1"/>
          <w:sz w:val="18"/>
          <w:szCs w:val="18"/>
          <w:lang w:val="en-AU"/>
        </w:rPr>
        <w:t>European Parliamentary Research Service, Women in politics in the EU State of play, PE 635.548 – March 2019 available at</w:t>
      </w:r>
      <w:r>
        <w:rPr>
          <w:rFonts w:ascii="Arial" w:hAnsi="Arial" w:cs="Arial"/>
          <w:color w:val="000000" w:themeColor="text1"/>
          <w:sz w:val="18"/>
          <w:szCs w:val="18"/>
          <w:lang w:val="en-AU"/>
        </w:rPr>
        <w:t>:</w:t>
      </w:r>
      <w:r w:rsidRPr="003F4F2D">
        <w:rPr>
          <w:rFonts w:ascii="Arial" w:hAnsi="Arial" w:cs="Arial"/>
          <w:color w:val="000000" w:themeColor="text1"/>
          <w:sz w:val="18"/>
          <w:szCs w:val="18"/>
          <w:lang w:val="en-AU"/>
        </w:rPr>
        <w:t xml:space="preserve"> &lt;</w:t>
      </w:r>
      <w:hyperlink r:id="rId8" w:history="1">
        <w:r w:rsidRPr="003F4F2D">
          <w:rPr>
            <w:rFonts w:ascii="Arial" w:eastAsia="Times New Roman" w:hAnsi="Arial" w:cs="Arial"/>
            <w:color w:val="0563C1" w:themeColor="hyperlink"/>
            <w:sz w:val="18"/>
            <w:szCs w:val="18"/>
            <w:u w:val="single"/>
            <w:lang w:val="en-AU" w:eastAsia="it-IT"/>
          </w:rPr>
          <w:t>http://www.europarl.europa.eu/RegData/etudes/BRIE/2019/635548/EPRS_BRI(2019)635548_EN.pdf</w:t>
        </w:r>
      </w:hyperlink>
      <w:r w:rsidRPr="003F4F2D">
        <w:rPr>
          <w:rFonts w:ascii="Arial" w:eastAsia="Times New Roman" w:hAnsi="Arial" w:cs="Arial"/>
          <w:color w:val="auto"/>
          <w:sz w:val="18"/>
          <w:szCs w:val="18"/>
          <w:lang w:val="en-AU" w:eastAsia="it-IT"/>
        </w:rPr>
        <w:t xml:space="preserve">&gt; </w:t>
      </w:r>
      <w:r w:rsidRPr="003F4F2D">
        <w:rPr>
          <w:rFonts w:ascii="Arial" w:hAnsi="Arial" w:cs="Arial"/>
          <w:color w:val="000000" w:themeColor="text1"/>
          <w:sz w:val="18"/>
          <w:szCs w:val="18"/>
          <w:lang w:val="en-AU"/>
        </w:rPr>
        <w:t>accessed on 10 June 2019.</w:t>
      </w:r>
    </w:p>
  </w:footnote>
  <w:footnote w:id="16">
    <w:p w14:paraId="395949EA" w14:textId="77777777" w:rsidR="00472187" w:rsidRPr="00D528E0" w:rsidRDefault="00472187" w:rsidP="00A906F1">
      <w:pPr>
        <w:pStyle w:val="FootnoteText"/>
        <w:ind w:left="426" w:firstLine="0"/>
        <w:jc w:val="left"/>
        <w:rPr>
          <w:rFonts w:ascii="Arial" w:hAnsi="Arial" w:cs="Arial"/>
          <w:color w:val="auto"/>
          <w:sz w:val="18"/>
          <w:szCs w:val="18"/>
          <w:lang w:val="en-AU"/>
        </w:rPr>
      </w:pPr>
      <w:r w:rsidRPr="00D528E0">
        <w:rPr>
          <w:rStyle w:val="FootnoteReference"/>
          <w:rFonts w:ascii="Arial" w:hAnsi="Arial" w:cs="Arial"/>
          <w:color w:val="auto"/>
          <w:sz w:val="18"/>
          <w:szCs w:val="18"/>
          <w:lang w:val="en-AU"/>
        </w:rPr>
        <w:footnoteRef/>
      </w:r>
      <w:r w:rsidRPr="00D528E0">
        <w:rPr>
          <w:rFonts w:ascii="Arial" w:hAnsi="Arial" w:cs="Arial"/>
          <w:color w:val="auto"/>
          <w:sz w:val="18"/>
          <w:szCs w:val="18"/>
          <w:lang w:val="en-AU"/>
        </w:rPr>
        <w:t xml:space="preserve"> Ibid, page 3.</w:t>
      </w:r>
    </w:p>
  </w:footnote>
  <w:footnote w:id="17">
    <w:p w14:paraId="317567AE" w14:textId="77777777" w:rsidR="00472187" w:rsidRPr="00107D5B" w:rsidRDefault="00472187" w:rsidP="00A906F1">
      <w:pPr>
        <w:pStyle w:val="FootnoteText"/>
        <w:ind w:left="426" w:firstLine="0"/>
        <w:rPr>
          <w:rFonts w:ascii="Arial" w:hAnsi="Arial" w:cs="Arial"/>
          <w:color w:val="auto"/>
          <w:sz w:val="18"/>
          <w:szCs w:val="18"/>
        </w:rPr>
      </w:pPr>
      <w:r w:rsidRPr="00D528E0">
        <w:rPr>
          <w:rStyle w:val="FootnoteReference"/>
          <w:rFonts w:ascii="Arial" w:hAnsi="Arial" w:cs="Arial"/>
          <w:color w:val="auto"/>
          <w:sz w:val="18"/>
          <w:szCs w:val="18"/>
        </w:rPr>
        <w:footnoteRef/>
      </w:r>
      <w:r w:rsidRPr="00D528E0">
        <w:rPr>
          <w:rFonts w:ascii="Arial" w:hAnsi="Arial" w:cs="Arial"/>
          <w:color w:val="auto"/>
          <w:sz w:val="18"/>
          <w:szCs w:val="18"/>
        </w:rPr>
        <w:t xml:space="preserve"> </w:t>
      </w:r>
      <w:r w:rsidRPr="00107D5B">
        <w:rPr>
          <w:rFonts w:ascii="Arial" w:hAnsi="Arial" w:cs="Arial"/>
          <w:color w:val="auto"/>
          <w:sz w:val="18"/>
          <w:szCs w:val="18"/>
        </w:rPr>
        <w:t xml:space="preserve">CEDAW General Recommendation No. 5: Temporary Special Measures; CEDAW General Recommendation No. 23: Political and Public Life paras 15, 29; General recommendation No. 25, on article 4, paragraph 1, of the Convention on the Elimination of All Forms of Discrimination against Women, on temporary special measures, para 22.  </w:t>
      </w:r>
    </w:p>
  </w:footnote>
  <w:footnote w:id="18">
    <w:p w14:paraId="0017579B" w14:textId="77777777" w:rsidR="00472187" w:rsidRPr="00107D5B" w:rsidRDefault="00472187" w:rsidP="00A906F1">
      <w:pPr>
        <w:pStyle w:val="FootnoteText"/>
        <w:ind w:left="426" w:firstLine="0"/>
        <w:rPr>
          <w:rFonts w:ascii="Arial" w:hAnsi="Arial" w:cs="Arial"/>
          <w:bCs/>
          <w:color w:val="auto"/>
          <w:sz w:val="18"/>
          <w:szCs w:val="18"/>
        </w:rPr>
      </w:pPr>
      <w:r w:rsidRPr="00A906F1">
        <w:rPr>
          <w:rStyle w:val="FootnoteReference"/>
          <w:rFonts w:ascii="Arial" w:hAnsi="Arial" w:cs="Arial"/>
          <w:color w:val="auto"/>
          <w:sz w:val="18"/>
          <w:szCs w:val="18"/>
        </w:rPr>
        <w:footnoteRef/>
      </w:r>
      <w:r w:rsidRPr="00A906F1">
        <w:rPr>
          <w:rFonts w:ascii="Arial" w:hAnsi="Arial" w:cs="Arial"/>
          <w:color w:val="auto"/>
          <w:sz w:val="18"/>
          <w:szCs w:val="18"/>
        </w:rPr>
        <w:t xml:space="preserve"> </w:t>
      </w:r>
      <w:r w:rsidRPr="00107D5B">
        <w:rPr>
          <w:rFonts w:ascii="Arial" w:hAnsi="Arial" w:cs="Arial"/>
          <w:color w:val="auto"/>
          <w:sz w:val="18"/>
          <w:szCs w:val="18"/>
        </w:rPr>
        <w:t>OECD,</w:t>
      </w:r>
      <w:r w:rsidRPr="00107D5B">
        <w:rPr>
          <w:rFonts w:ascii="Arial" w:eastAsia="Times New Roman" w:hAnsi="Arial" w:cs="Arial"/>
          <w:bCs/>
          <w:color w:val="333333"/>
          <w:kern w:val="36"/>
          <w:sz w:val="18"/>
          <w:szCs w:val="18"/>
          <w:lang w:eastAsia="it-IT"/>
        </w:rPr>
        <w:t xml:space="preserve"> </w:t>
      </w:r>
      <w:r w:rsidRPr="00107D5B">
        <w:rPr>
          <w:rFonts w:ascii="Arial" w:hAnsi="Arial" w:cs="Arial"/>
          <w:bCs/>
          <w:color w:val="auto"/>
          <w:sz w:val="18"/>
          <w:szCs w:val="18"/>
        </w:rPr>
        <w:t>Women, Government and Policy Making. in OECD. Fostering Diversity for Inclusive Growth (2014), 37.</w:t>
      </w:r>
    </w:p>
  </w:footnote>
  <w:footnote w:id="19">
    <w:p w14:paraId="1A887D2C" w14:textId="77777777" w:rsidR="00472187" w:rsidRPr="00D528E0" w:rsidRDefault="00472187" w:rsidP="00A906F1">
      <w:pPr>
        <w:pStyle w:val="FootnoteText"/>
        <w:ind w:left="426" w:firstLine="0"/>
        <w:rPr>
          <w:rFonts w:ascii="Arial" w:hAnsi="Arial" w:cs="Arial"/>
          <w:color w:val="auto"/>
          <w:sz w:val="18"/>
          <w:szCs w:val="18"/>
        </w:rPr>
      </w:pPr>
      <w:r w:rsidRPr="00D528E0">
        <w:rPr>
          <w:rStyle w:val="FootnoteReference"/>
          <w:rFonts w:ascii="Arial" w:hAnsi="Arial" w:cs="Arial"/>
          <w:color w:val="auto"/>
          <w:sz w:val="18"/>
          <w:szCs w:val="18"/>
        </w:rPr>
        <w:footnoteRef/>
      </w:r>
      <w:r w:rsidRPr="00D528E0">
        <w:rPr>
          <w:rFonts w:ascii="Arial" w:hAnsi="Arial" w:cs="Arial"/>
          <w:color w:val="auto"/>
          <w:sz w:val="18"/>
          <w:szCs w:val="18"/>
        </w:rPr>
        <w:t xml:space="preserve"> Decree </w:t>
      </w:r>
      <w:r w:rsidRPr="00D528E0">
        <w:rPr>
          <w:rFonts w:ascii="Arial" w:eastAsiaTheme="minorHAnsi" w:hAnsi="Arial" w:cs="Arial"/>
          <w:color w:val="auto"/>
          <w:sz w:val="18"/>
          <w:szCs w:val="18"/>
          <w:lang w:val="en-AU"/>
        </w:rPr>
        <w:t>regulating the criteria for implementation of the principle of balanced representation of women and men</w:t>
      </w:r>
    </w:p>
  </w:footnote>
  <w:footnote w:id="20">
    <w:p w14:paraId="0136CCBE" w14:textId="77777777" w:rsidR="00472187" w:rsidRPr="00107D5B" w:rsidRDefault="00472187" w:rsidP="00A906F1">
      <w:pPr>
        <w:pStyle w:val="FootnoteText"/>
        <w:ind w:left="426" w:firstLine="0"/>
        <w:rPr>
          <w:rFonts w:ascii="Arial" w:hAnsi="Arial" w:cs="Arial"/>
          <w:color w:val="auto"/>
          <w:sz w:val="18"/>
          <w:szCs w:val="18"/>
        </w:rPr>
      </w:pPr>
      <w:r w:rsidRPr="00D528E0">
        <w:rPr>
          <w:rStyle w:val="FootnoteReference"/>
          <w:rFonts w:ascii="Arial" w:hAnsi="Arial" w:cs="Arial"/>
          <w:color w:val="auto"/>
          <w:sz w:val="18"/>
          <w:szCs w:val="18"/>
        </w:rPr>
        <w:footnoteRef/>
      </w:r>
      <w:r w:rsidRPr="00D528E0">
        <w:rPr>
          <w:rFonts w:ascii="Arial" w:hAnsi="Arial" w:cs="Arial"/>
          <w:color w:val="auto"/>
          <w:sz w:val="18"/>
          <w:szCs w:val="18"/>
        </w:rPr>
        <w:t xml:space="preserve"> </w:t>
      </w:r>
      <w:r w:rsidRPr="00D528E0">
        <w:rPr>
          <w:rFonts w:ascii="Arial" w:hAnsi="Arial" w:cs="Arial"/>
          <w:color w:val="auto"/>
          <w:sz w:val="18"/>
          <w:szCs w:val="18"/>
          <w:lang w:val="en-GB"/>
        </w:rPr>
        <w:t>Equal Opportunities for Women and Men Act (Official Gazette of the Republic of Slovenia, No. 59/2002</w:t>
      </w:r>
    </w:p>
  </w:footnote>
  <w:footnote w:id="21">
    <w:p w14:paraId="2E59484B" w14:textId="77777777" w:rsidR="00472187" w:rsidRPr="00D528E0" w:rsidRDefault="00472187" w:rsidP="00A906F1">
      <w:pPr>
        <w:shd w:val="clear" w:color="auto" w:fill="FFFFFF"/>
        <w:ind w:left="426" w:firstLine="0"/>
        <w:contextualSpacing w:val="0"/>
        <w:jc w:val="left"/>
        <w:rPr>
          <w:rFonts w:ascii="Arial" w:eastAsia="Times New Roman" w:hAnsi="Arial" w:cs="Arial"/>
          <w:bCs/>
          <w:color w:val="auto"/>
          <w:sz w:val="18"/>
          <w:szCs w:val="18"/>
          <w:lang w:val="sk-SK"/>
        </w:rPr>
      </w:pPr>
      <w:r w:rsidRPr="00D528E0">
        <w:rPr>
          <w:rStyle w:val="FootnoteReference"/>
          <w:rFonts w:ascii="Arial" w:hAnsi="Arial" w:cs="Arial"/>
          <w:color w:val="auto"/>
          <w:sz w:val="18"/>
          <w:szCs w:val="18"/>
        </w:rPr>
        <w:footnoteRef/>
      </w:r>
      <w:r w:rsidRPr="00D528E0">
        <w:rPr>
          <w:rFonts w:ascii="Arial" w:hAnsi="Arial" w:cs="Arial"/>
          <w:color w:val="auto"/>
          <w:sz w:val="18"/>
          <w:szCs w:val="18"/>
        </w:rPr>
        <w:t xml:space="preserve"> </w:t>
      </w:r>
      <w:hyperlink r:id="rId9" w:history="1">
        <w:r w:rsidRPr="00D528E0">
          <w:rPr>
            <w:rStyle w:val="Hyperlink"/>
            <w:rFonts w:ascii="Arial" w:eastAsia="Times New Roman" w:hAnsi="Arial" w:cs="Arial"/>
            <w:b/>
            <w:bCs/>
            <w:color w:val="auto"/>
            <w:sz w:val="18"/>
            <w:szCs w:val="18"/>
            <w:lang w:val="sk-SK"/>
          </w:rPr>
          <w:t>Uredba o kriterijih za upoštevanje načela uravnoteene zastopanosti spolov (Uradni list RS, št. 103/0)</w:t>
        </w:r>
      </w:hyperlink>
      <w:r w:rsidRPr="00D528E0">
        <w:rPr>
          <w:rStyle w:val="Hyperlink"/>
          <w:rFonts w:ascii="Arial" w:eastAsia="Times New Roman" w:hAnsi="Arial" w:cs="Arial"/>
          <w:bCs/>
          <w:color w:val="auto"/>
          <w:sz w:val="18"/>
          <w:szCs w:val="18"/>
          <w:u w:val="none"/>
          <w:lang w:val="sk-SK"/>
        </w:rPr>
        <w:t>, Articles 1, 2.</w:t>
      </w:r>
    </w:p>
  </w:footnote>
  <w:footnote w:id="22">
    <w:p w14:paraId="32374088" w14:textId="77777777" w:rsidR="00472187" w:rsidRPr="00D528E0" w:rsidRDefault="00472187" w:rsidP="00A906F1">
      <w:pPr>
        <w:pStyle w:val="FootnoteText"/>
        <w:ind w:left="426" w:firstLine="0"/>
        <w:jc w:val="left"/>
        <w:rPr>
          <w:rFonts w:ascii="Arial" w:hAnsi="Arial" w:cs="Arial"/>
          <w:color w:val="auto"/>
          <w:sz w:val="18"/>
          <w:szCs w:val="18"/>
          <w:lang w:val="en-AU"/>
        </w:rPr>
      </w:pPr>
      <w:r w:rsidRPr="00D528E0">
        <w:rPr>
          <w:rStyle w:val="FootnoteReference"/>
          <w:rFonts w:ascii="Arial" w:hAnsi="Arial" w:cs="Arial"/>
          <w:color w:val="auto"/>
          <w:sz w:val="18"/>
          <w:szCs w:val="18"/>
          <w:lang w:val="en-AU"/>
        </w:rPr>
        <w:footnoteRef/>
      </w:r>
      <w:r w:rsidRPr="00D528E0">
        <w:rPr>
          <w:rFonts w:ascii="Arial" w:hAnsi="Arial" w:cs="Arial"/>
          <w:color w:val="auto"/>
          <w:sz w:val="18"/>
          <w:szCs w:val="18"/>
          <w:lang w:val="en-AU"/>
        </w:rPr>
        <w:t>Éléonore Lépinard et al.,</w:t>
      </w:r>
      <w:r w:rsidRPr="00D528E0">
        <w:rPr>
          <w:rFonts w:ascii="Arial" w:hAnsi="Arial" w:cs="Arial"/>
          <w:i/>
          <w:color w:val="auto"/>
          <w:sz w:val="18"/>
          <w:szCs w:val="18"/>
          <w:lang w:val="en-AU"/>
        </w:rPr>
        <w:t>Transforming Gender Citizenship: The Irresistible Rise of Gender Quotas in Europe</w:t>
      </w:r>
      <w:r w:rsidRPr="00D528E0">
        <w:rPr>
          <w:rFonts w:ascii="Arial" w:hAnsi="Arial" w:cs="Arial"/>
          <w:color w:val="auto"/>
          <w:sz w:val="18"/>
          <w:szCs w:val="18"/>
          <w:lang w:val="en-AU"/>
        </w:rPr>
        <w:t xml:space="preserve">, </w:t>
      </w:r>
    </w:p>
    <w:p w14:paraId="0CB361A9" w14:textId="77777777" w:rsidR="00472187" w:rsidRPr="00D528E0" w:rsidRDefault="00472187" w:rsidP="00A906F1">
      <w:pPr>
        <w:pStyle w:val="FootnoteText"/>
        <w:ind w:left="426" w:firstLine="0"/>
        <w:jc w:val="left"/>
        <w:rPr>
          <w:rFonts w:ascii="Arial" w:hAnsi="Arial" w:cs="Arial"/>
          <w:color w:val="auto"/>
          <w:sz w:val="18"/>
          <w:szCs w:val="18"/>
          <w:lang w:val="en-AU"/>
        </w:rPr>
      </w:pPr>
      <w:r w:rsidRPr="00D528E0">
        <w:rPr>
          <w:rFonts w:ascii="Arial" w:hAnsi="Arial" w:cs="Arial"/>
          <w:color w:val="auto"/>
          <w:sz w:val="18"/>
          <w:szCs w:val="18"/>
          <w:lang w:val="en-AU"/>
        </w:rPr>
        <w:t>(Cambridge University Press 2018),119.</w:t>
      </w:r>
    </w:p>
  </w:footnote>
  <w:footnote w:id="23">
    <w:p w14:paraId="58B64DB9" w14:textId="77777777" w:rsidR="00472187" w:rsidRPr="00107D5B" w:rsidRDefault="00472187" w:rsidP="00A906F1">
      <w:pPr>
        <w:pStyle w:val="FootnoteText"/>
        <w:ind w:left="426" w:firstLine="0"/>
        <w:rPr>
          <w:rFonts w:ascii="Arial" w:hAnsi="Arial" w:cs="Arial"/>
          <w:b/>
          <w:bCs/>
          <w:color w:val="auto"/>
          <w:sz w:val="18"/>
          <w:szCs w:val="18"/>
        </w:rPr>
      </w:pPr>
      <w:r w:rsidRPr="00D528E0">
        <w:rPr>
          <w:rStyle w:val="FootnoteReference"/>
          <w:rFonts w:ascii="Arial" w:hAnsi="Arial" w:cs="Arial"/>
          <w:color w:val="auto"/>
          <w:sz w:val="18"/>
          <w:szCs w:val="18"/>
        </w:rPr>
        <w:footnoteRef/>
      </w:r>
      <w:r w:rsidRPr="00D528E0">
        <w:rPr>
          <w:color w:val="auto"/>
          <w:sz w:val="18"/>
          <w:szCs w:val="18"/>
        </w:rPr>
        <w:t xml:space="preserve"> </w:t>
      </w:r>
      <w:r w:rsidRPr="00D528E0">
        <w:rPr>
          <w:rFonts w:ascii="Arial" w:hAnsi="Arial" w:cs="Arial"/>
          <w:color w:val="auto"/>
          <w:sz w:val="18"/>
          <w:szCs w:val="18"/>
        </w:rPr>
        <w:t xml:space="preserve">OECD, </w:t>
      </w:r>
      <w:r w:rsidRPr="00107D5B">
        <w:rPr>
          <w:rFonts w:ascii="Arial" w:hAnsi="Arial" w:cs="Arial"/>
          <w:bCs/>
          <w:color w:val="auto"/>
          <w:sz w:val="18"/>
          <w:szCs w:val="18"/>
        </w:rPr>
        <w:t>Government at a Glance - 2017 edition: </w:t>
      </w:r>
      <w:hyperlink r:id="rId10" w:tgtFrame="_blank" w:history="1">
        <w:r w:rsidRPr="00107D5B">
          <w:rPr>
            <w:rStyle w:val="Hyperlink"/>
            <w:rFonts w:ascii="Arial" w:hAnsi="Arial" w:cs="Arial"/>
            <w:bCs/>
            <w:iCs/>
            <w:color w:val="auto"/>
            <w:sz w:val="18"/>
            <w:szCs w:val="18"/>
          </w:rPr>
          <w:t>Share of central government employment filled by women by occupational groups, senior management</w:t>
        </w:r>
      </w:hyperlink>
      <w:r w:rsidRPr="00D528E0">
        <w:rPr>
          <w:rFonts w:ascii="Arial" w:hAnsi="Arial" w:cs="Arial"/>
          <w:color w:val="auto"/>
          <w:sz w:val="18"/>
          <w:szCs w:val="18"/>
        </w:rPr>
        <w:t>.</w:t>
      </w:r>
    </w:p>
  </w:footnote>
  <w:footnote w:id="24">
    <w:p w14:paraId="64D092AD" w14:textId="77777777" w:rsidR="00472187" w:rsidRPr="00867E8B" w:rsidRDefault="00472187" w:rsidP="00A906F1">
      <w:pPr>
        <w:ind w:left="426" w:firstLine="0"/>
        <w:jc w:val="left"/>
        <w:rPr>
          <w:rFonts w:ascii="Arial" w:eastAsia="Times New Roman" w:hAnsi="Arial" w:cs="Arial"/>
          <w:sz w:val="18"/>
          <w:szCs w:val="18"/>
        </w:rPr>
      </w:pPr>
      <w:r w:rsidRPr="00D528E0">
        <w:rPr>
          <w:rStyle w:val="FootnoteReference"/>
          <w:rFonts w:ascii="Arial" w:hAnsi="Arial" w:cs="Arial"/>
          <w:color w:val="auto"/>
          <w:sz w:val="18"/>
          <w:szCs w:val="18"/>
        </w:rPr>
        <w:footnoteRef/>
      </w:r>
      <w:r w:rsidRPr="00D528E0">
        <w:rPr>
          <w:rFonts w:ascii="Arial" w:eastAsia="Times New Roman" w:hAnsi="Arial" w:cs="Arial"/>
          <w:color w:val="auto"/>
          <w:sz w:val="18"/>
          <w:szCs w:val="18"/>
          <w:lang w:eastAsia="it-IT"/>
        </w:rPr>
        <w:t>Law n°2012-347 du 12 mars 2012, Art. 53, 54; available at: &lt;</w:t>
      </w:r>
      <w:hyperlink r:id="rId11" w:history="1">
        <w:r w:rsidRPr="00D528E0">
          <w:rPr>
            <w:rStyle w:val="Hyperlink"/>
            <w:rFonts w:ascii="Arial" w:eastAsia="Times New Roman" w:hAnsi="Arial" w:cs="Arial"/>
            <w:color w:val="auto"/>
            <w:sz w:val="18"/>
            <w:szCs w:val="18"/>
          </w:rPr>
          <w:t>https://www.legifrance.gouv.fr/affichTexte.do?cidTexte=JORFTEXT000025489865</w:t>
        </w:r>
      </w:hyperlink>
      <w:r w:rsidRPr="00D528E0">
        <w:rPr>
          <w:rFonts w:ascii="Arial" w:eastAsia="Times New Roman" w:hAnsi="Arial" w:cs="Arial"/>
          <w:color w:val="auto"/>
          <w:sz w:val="18"/>
          <w:szCs w:val="18"/>
        </w:rPr>
        <w:t>&gt;</w:t>
      </w:r>
      <w:r w:rsidRPr="00867E8B">
        <w:rPr>
          <w:rFonts w:ascii="Arial" w:eastAsia="Times New Roman" w:hAnsi="Arial" w:cs="Arial"/>
          <w:sz w:val="18"/>
          <w:szCs w:val="18"/>
        </w:rPr>
        <w:t xml:space="preserve"> </w:t>
      </w:r>
    </w:p>
  </w:footnote>
  <w:footnote w:id="25">
    <w:p w14:paraId="3097DE8D" w14:textId="77777777" w:rsidR="00472187" w:rsidRPr="00D528E0" w:rsidRDefault="00472187" w:rsidP="00867E8B">
      <w:pPr>
        <w:pStyle w:val="FootnoteText"/>
        <w:ind w:left="426" w:firstLine="0"/>
        <w:jc w:val="left"/>
        <w:rPr>
          <w:rFonts w:ascii="Arial" w:hAnsi="Arial" w:cs="Arial"/>
          <w:color w:val="auto"/>
          <w:sz w:val="18"/>
          <w:szCs w:val="18"/>
        </w:rPr>
      </w:pPr>
      <w:r w:rsidRPr="00D528E0">
        <w:rPr>
          <w:rStyle w:val="FootnoteReference"/>
          <w:rFonts w:ascii="Arial" w:hAnsi="Arial" w:cs="Arial"/>
          <w:color w:val="auto"/>
          <w:sz w:val="18"/>
          <w:szCs w:val="18"/>
        </w:rPr>
        <w:footnoteRef/>
      </w:r>
      <w:r w:rsidRPr="00D528E0">
        <w:rPr>
          <w:rFonts w:ascii="Arial" w:hAnsi="Arial" w:cs="Arial"/>
          <w:color w:val="auto"/>
          <w:sz w:val="18"/>
          <w:szCs w:val="18"/>
        </w:rPr>
        <w:t xml:space="preserve"> </w:t>
      </w:r>
      <w:r w:rsidRPr="00D528E0">
        <w:rPr>
          <w:rFonts w:ascii="Arial" w:hAnsi="Arial" w:cs="Arial"/>
          <w:color w:val="auto"/>
          <w:sz w:val="18"/>
          <w:szCs w:val="18"/>
          <w:lang w:val="en-AU"/>
        </w:rPr>
        <w:t>European Parliament, Directorate General for Internal Policies, Policy Department: Citizens' Rights and Constitutional affairs women's rights &amp; gender equality, The Policy on Gender Equality in France in-depth analysis (2015) available at: &lt;</w:t>
      </w:r>
      <w:r w:rsidRPr="00D528E0">
        <w:rPr>
          <w:rFonts w:ascii="Arial" w:eastAsia="Times New Roman" w:hAnsi="Arial" w:cs="Arial"/>
          <w:color w:val="auto"/>
          <w:sz w:val="18"/>
          <w:szCs w:val="18"/>
          <w:lang w:eastAsia="it-IT"/>
        </w:rPr>
        <w:t xml:space="preserve"> </w:t>
      </w:r>
      <w:hyperlink r:id="rId12" w:history="1">
        <w:r w:rsidRPr="00D528E0">
          <w:rPr>
            <w:rStyle w:val="Hyperlink"/>
            <w:rFonts w:ascii="Arial" w:hAnsi="Arial" w:cs="Arial"/>
            <w:color w:val="auto"/>
            <w:sz w:val="18"/>
            <w:szCs w:val="18"/>
          </w:rPr>
          <w:t>http://www.europarl.europa.eu/RegData/etudes/IDAN/2015/510024/IPOL_IDA(2015)510024_EN.pdf</w:t>
        </w:r>
      </w:hyperlink>
      <w:r w:rsidRPr="00D528E0">
        <w:rPr>
          <w:rFonts w:ascii="Arial" w:hAnsi="Arial" w:cs="Arial"/>
          <w:color w:val="auto"/>
          <w:sz w:val="18"/>
          <w:szCs w:val="18"/>
          <w:lang w:val="en-AU"/>
        </w:rPr>
        <w:t>&gt;, 12.</w:t>
      </w:r>
    </w:p>
  </w:footnote>
  <w:footnote w:id="26">
    <w:p w14:paraId="4D4189AF" w14:textId="77777777" w:rsidR="00472187" w:rsidRPr="00D528E0" w:rsidRDefault="00472187" w:rsidP="00A02E95">
      <w:pPr>
        <w:widowControl w:val="0"/>
        <w:ind w:left="425" w:firstLine="0"/>
        <w:contextualSpacing w:val="0"/>
        <w:jc w:val="left"/>
        <w:rPr>
          <w:rFonts w:ascii="Arial" w:hAnsi="Arial" w:cs="Arial"/>
          <w:color w:val="auto"/>
          <w:sz w:val="18"/>
          <w:szCs w:val="18"/>
        </w:rPr>
      </w:pPr>
      <w:r w:rsidRPr="00D528E0">
        <w:rPr>
          <w:rStyle w:val="FootnoteReference"/>
          <w:rFonts w:ascii="Arial" w:hAnsi="Arial" w:cs="Arial"/>
          <w:color w:val="auto"/>
          <w:sz w:val="18"/>
          <w:szCs w:val="18"/>
        </w:rPr>
        <w:footnoteRef/>
      </w:r>
      <w:r w:rsidRPr="00D528E0">
        <w:rPr>
          <w:rFonts w:ascii="Arial" w:hAnsi="Arial" w:cs="Arial"/>
          <w:color w:val="auto"/>
          <w:sz w:val="18"/>
          <w:szCs w:val="18"/>
        </w:rPr>
        <w:t xml:space="preserve"> </w:t>
      </w:r>
      <w:hyperlink r:id="rId13" w:history="1">
        <w:r w:rsidRPr="00D528E0">
          <w:rPr>
            <w:rStyle w:val="Hyperlink"/>
            <w:rFonts w:ascii="Arial" w:hAnsi="Arial" w:cs="Arial"/>
            <w:color w:val="auto"/>
            <w:sz w:val="18"/>
            <w:szCs w:val="18"/>
          </w:rPr>
          <w:t>Council of Ministers’ Decision No. 733/2016 "National Strategy and Action Plan on Gender Equality 2016-2020"</w:t>
        </w:r>
      </w:hyperlink>
      <w:r w:rsidRPr="00D528E0">
        <w:rPr>
          <w:rFonts w:ascii="Arial" w:hAnsi="Arial" w:cs="Arial"/>
          <w:color w:val="auto"/>
          <w:sz w:val="18"/>
          <w:szCs w:val="18"/>
        </w:rPr>
        <w:t xml:space="preserve">; </w:t>
      </w:r>
      <w:hyperlink r:id="rId14" w:history="1">
        <w:r w:rsidRPr="00D528E0">
          <w:rPr>
            <w:rStyle w:val="Hyperlink"/>
            <w:rFonts w:ascii="Arial" w:hAnsi="Arial" w:cs="Arial"/>
            <w:color w:val="auto"/>
            <w:sz w:val="18"/>
            <w:szCs w:val="18"/>
          </w:rPr>
          <w:t>Law no. 9970, 2008 “Gender Equality in Society”</w:t>
        </w:r>
      </w:hyperlink>
      <w:r w:rsidRPr="00D528E0">
        <w:rPr>
          <w:rFonts w:ascii="Arial" w:hAnsi="Arial" w:cs="Arial"/>
          <w:color w:val="auto"/>
          <w:sz w:val="18"/>
          <w:szCs w:val="18"/>
        </w:rPr>
        <w:t>, Art. 15;</w:t>
      </w:r>
    </w:p>
  </w:footnote>
  <w:footnote w:id="27">
    <w:p w14:paraId="664BDCD5" w14:textId="77777777" w:rsidR="00472187" w:rsidRPr="00D528E0" w:rsidRDefault="00472187" w:rsidP="00A02E95">
      <w:pPr>
        <w:widowControl w:val="0"/>
        <w:ind w:left="425" w:firstLine="0"/>
        <w:contextualSpacing w:val="0"/>
        <w:jc w:val="left"/>
        <w:rPr>
          <w:rFonts w:ascii="Arial" w:hAnsi="Arial" w:cs="Arial"/>
          <w:color w:val="auto"/>
          <w:sz w:val="18"/>
          <w:szCs w:val="18"/>
        </w:rPr>
      </w:pPr>
      <w:r w:rsidRPr="00D528E0">
        <w:rPr>
          <w:rStyle w:val="FootnoteReference"/>
          <w:rFonts w:ascii="Arial" w:hAnsi="Arial" w:cs="Arial"/>
          <w:color w:val="auto"/>
          <w:sz w:val="18"/>
          <w:szCs w:val="18"/>
        </w:rPr>
        <w:footnoteRef/>
      </w:r>
      <w:r w:rsidRPr="00D528E0">
        <w:rPr>
          <w:rFonts w:ascii="Arial" w:hAnsi="Arial" w:cs="Arial"/>
          <w:color w:val="auto"/>
          <w:sz w:val="18"/>
          <w:szCs w:val="18"/>
        </w:rPr>
        <w:t xml:space="preserve"> </w:t>
      </w:r>
      <w:hyperlink r:id="rId15" w:history="1">
        <w:r w:rsidRPr="00D528E0">
          <w:rPr>
            <w:rStyle w:val="Hyperlink"/>
            <w:rFonts w:ascii="Arial" w:hAnsi="Arial" w:cs="Arial"/>
            <w:bCs/>
            <w:color w:val="auto"/>
            <w:sz w:val="18"/>
            <w:szCs w:val="18"/>
          </w:rPr>
          <w:t>The Gender Action Plan for Bosnia and Herzegovina 2013-2017</w:t>
        </w:r>
      </w:hyperlink>
      <w:r w:rsidRPr="00D528E0">
        <w:rPr>
          <w:rFonts w:ascii="Arial" w:hAnsi="Arial" w:cs="Arial"/>
          <w:color w:val="auto"/>
          <w:sz w:val="18"/>
          <w:szCs w:val="18"/>
          <w:lang w:val="en-GB"/>
        </w:rPr>
        <w:t xml:space="preserve">; </w:t>
      </w:r>
      <w:hyperlink r:id="rId16" w:history="1">
        <w:r w:rsidRPr="00D528E0">
          <w:rPr>
            <w:rStyle w:val="Hyperlink"/>
            <w:rFonts w:ascii="Arial" w:hAnsi="Arial" w:cs="Arial"/>
            <w:bCs/>
            <w:color w:val="auto"/>
            <w:sz w:val="18"/>
            <w:szCs w:val="18"/>
          </w:rPr>
          <w:t>The Law on Gender Equality, Official Gazette Bosnia and Herzegovina No. 32/2010</w:t>
        </w:r>
      </w:hyperlink>
      <w:r w:rsidRPr="00D528E0">
        <w:rPr>
          <w:rFonts w:ascii="Arial" w:hAnsi="Arial" w:cs="Arial"/>
          <w:color w:val="auto"/>
          <w:sz w:val="18"/>
          <w:szCs w:val="18"/>
          <w:lang w:val="en-GB"/>
        </w:rPr>
        <w:t>, Art. 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6C662" w14:textId="77777777" w:rsidR="00472187" w:rsidRPr="005D1CAC" w:rsidRDefault="00472187">
    <w:pPr>
      <w:spacing w:before="720"/>
      <w:contextualSpacing w:val="0"/>
      <w:jc w:val="right"/>
      <w:rPr>
        <w:rFonts w:ascii="Arial" w:hAnsi="Arial" w:cs="Arial"/>
      </w:rPr>
    </w:pPr>
    <w:r w:rsidRPr="005D1CAC">
      <w:rPr>
        <w:rFonts w:ascii="Arial" w:hAnsi="Arial" w:cs="Arial"/>
        <w:b/>
        <w:sz w:val="16"/>
        <w:szCs w:val="16"/>
      </w:rPr>
      <w:t xml:space="preserve">Briefing Note – Universal Applicability of SDG Indicator 5.a.2 “Women’s Land Rights in the Law”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A4D"/>
    <w:multiLevelType w:val="hybridMultilevel"/>
    <w:tmpl w:val="107EE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295983"/>
    <w:multiLevelType w:val="multilevel"/>
    <w:tmpl w:val="621C38F8"/>
    <w:lvl w:ilvl="0">
      <w:start w:val="1"/>
      <w:numFmt w:val="bullet"/>
      <w:lvlText w:val="●"/>
      <w:lvlJc w:val="left"/>
      <w:pPr>
        <w:ind w:left="720" w:firstLine="360"/>
      </w:pPr>
      <w:rPr>
        <w:rFonts w:ascii="Arial" w:eastAsia="Arial" w:hAnsi="Arial" w:cs="Arial"/>
        <w:b w:val="0"/>
        <w:i w:val="0"/>
        <w:sz w:val="16"/>
        <w:szCs w:val="16"/>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2" w15:restartNumberingAfterBreak="0">
    <w:nsid w:val="102F0430"/>
    <w:multiLevelType w:val="multilevel"/>
    <w:tmpl w:val="B888EE7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15:restartNumberingAfterBreak="0">
    <w:nsid w:val="10A06B4C"/>
    <w:multiLevelType w:val="multilevel"/>
    <w:tmpl w:val="1FA6A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867606"/>
    <w:multiLevelType w:val="hybridMultilevel"/>
    <w:tmpl w:val="0EC613C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132A758E"/>
    <w:multiLevelType w:val="hybridMultilevel"/>
    <w:tmpl w:val="1DEAFED4"/>
    <w:lvl w:ilvl="0" w:tplc="A2DA2B78">
      <w:start w:val="1"/>
      <w:numFmt w:val="bullet"/>
      <w:lvlText w:val=""/>
      <w:lvlJc w:val="left"/>
      <w:pPr>
        <w:tabs>
          <w:tab w:val="num" w:pos="720"/>
        </w:tabs>
        <w:ind w:left="720" w:hanging="360"/>
      </w:pPr>
      <w:rPr>
        <w:rFonts w:ascii="Wingdings" w:hAnsi="Wingdings" w:hint="default"/>
      </w:rPr>
    </w:lvl>
    <w:lvl w:ilvl="1" w:tplc="1E74CCB4" w:tentative="1">
      <w:start w:val="1"/>
      <w:numFmt w:val="bullet"/>
      <w:lvlText w:val=""/>
      <w:lvlJc w:val="left"/>
      <w:pPr>
        <w:tabs>
          <w:tab w:val="num" w:pos="1440"/>
        </w:tabs>
        <w:ind w:left="1440" w:hanging="360"/>
      </w:pPr>
      <w:rPr>
        <w:rFonts w:ascii="Wingdings" w:hAnsi="Wingdings" w:hint="default"/>
      </w:rPr>
    </w:lvl>
    <w:lvl w:ilvl="2" w:tplc="C968392A" w:tentative="1">
      <w:start w:val="1"/>
      <w:numFmt w:val="bullet"/>
      <w:lvlText w:val=""/>
      <w:lvlJc w:val="left"/>
      <w:pPr>
        <w:tabs>
          <w:tab w:val="num" w:pos="2160"/>
        </w:tabs>
        <w:ind w:left="2160" w:hanging="360"/>
      </w:pPr>
      <w:rPr>
        <w:rFonts w:ascii="Wingdings" w:hAnsi="Wingdings" w:hint="default"/>
      </w:rPr>
    </w:lvl>
    <w:lvl w:ilvl="3" w:tplc="71D8FCCA" w:tentative="1">
      <w:start w:val="1"/>
      <w:numFmt w:val="bullet"/>
      <w:lvlText w:val=""/>
      <w:lvlJc w:val="left"/>
      <w:pPr>
        <w:tabs>
          <w:tab w:val="num" w:pos="2880"/>
        </w:tabs>
        <w:ind w:left="2880" w:hanging="360"/>
      </w:pPr>
      <w:rPr>
        <w:rFonts w:ascii="Wingdings" w:hAnsi="Wingdings" w:hint="default"/>
      </w:rPr>
    </w:lvl>
    <w:lvl w:ilvl="4" w:tplc="9DA659FA" w:tentative="1">
      <w:start w:val="1"/>
      <w:numFmt w:val="bullet"/>
      <w:lvlText w:val=""/>
      <w:lvlJc w:val="left"/>
      <w:pPr>
        <w:tabs>
          <w:tab w:val="num" w:pos="3600"/>
        </w:tabs>
        <w:ind w:left="3600" w:hanging="360"/>
      </w:pPr>
      <w:rPr>
        <w:rFonts w:ascii="Wingdings" w:hAnsi="Wingdings" w:hint="default"/>
      </w:rPr>
    </w:lvl>
    <w:lvl w:ilvl="5" w:tplc="406492B2" w:tentative="1">
      <w:start w:val="1"/>
      <w:numFmt w:val="bullet"/>
      <w:lvlText w:val=""/>
      <w:lvlJc w:val="left"/>
      <w:pPr>
        <w:tabs>
          <w:tab w:val="num" w:pos="4320"/>
        </w:tabs>
        <w:ind w:left="4320" w:hanging="360"/>
      </w:pPr>
      <w:rPr>
        <w:rFonts w:ascii="Wingdings" w:hAnsi="Wingdings" w:hint="default"/>
      </w:rPr>
    </w:lvl>
    <w:lvl w:ilvl="6" w:tplc="5C44F8B0" w:tentative="1">
      <w:start w:val="1"/>
      <w:numFmt w:val="bullet"/>
      <w:lvlText w:val=""/>
      <w:lvlJc w:val="left"/>
      <w:pPr>
        <w:tabs>
          <w:tab w:val="num" w:pos="5040"/>
        </w:tabs>
        <w:ind w:left="5040" w:hanging="360"/>
      </w:pPr>
      <w:rPr>
        <w:rFonts w:ascii="Wingdings" w:hAnsi="Wingdings" w:hint="default"/>
      </w:rPr>
    </w:lvl>
    <w:lvl w:ilvl="7" w:tplc="32CAE0F4" w:tentative="1">
      <w:start w:val="1"/>
      <w:numFmt w:val="bullet"/>
      <w:lvlText w:val=""/>
      <w:lvlJc w:val="left"/>
      <w:pPr>
        <w:tabs>
          <w:tab w:val="num" w:pos="5760"/>
        </w:tabs>
        <w:ind w:left="5760" w:hanging="360"/>
      </w:pPr>
      <w:rPr>
        <w:rFonts w:ascii="Wingdings" w:hAnsi="Wingdings" w:hint="default"/>
      </w:rPr>
    </w:lvl>
    <w:lvl w:ilvl="8" w:tplc="8990E4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A15935"/>
    <w:multiLevelType w:val="multilevel"/>
    <w:tmpl w:val="13D08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727066"/>
    <w:multiLevelType w:val="hybridMultilevel"/>
    <w:tmpl w:val="FD9ABC5E"/>
    <w:lvl w:ilvl="0" w:tplc="6906A636">
      <w:start w:val="1"/>
      <w:numFmt w:val="decimal"/>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927BD0"/>
    <w:multiLevelType w:val="multilevel"/>
    <w:tmpl w:val="65A606B0"/>
    <w:lvl w:ilvl="0">
      <w:start w:val="1"/>
      <w:numFmt w:val="decimal"/>
      <w:lvlText w:val="%1."/>
      <w:lvlJc w:val="left"/>
      <w:pPr>
        <w:ind w:left="380" w:firstLine="0"/>
      </w:pPr>
      <w:rPr>
        <w:vertAlign w:val="baseline"/>
      </w:rPr>
    </w:lvl>
    <w:lvl w:ilvl="1">
      <w:start w:val="1"/>
      <w:numFmt w:val="decimal"/>
      <w:lvlText w:val="%1.%2."/>
      <w:lvlJc w:val="left"/>
      <w:pPr>
        <w:ind w:left="380" w:firstLine="0"/>
      </w:pPr>
      <w:rPr>
        <w:vertAlign w:val="baseline"/>
      </w:rPr>
    </w:lvl>
    <w:lvl w:ilvl="2">
      <w:start w:val="1"/>
      <w:numFmt w:val="decimal"/>
      <w:lvlText w:val="%1.%2.%3."/>
      <w:lvlJc w:val="left"/>
      <w:pPr>
        <w:ind w:left="720" w:firstLine="0"/>
      </w:pPr>
      <w:rPr>
        <w:vertAlign w:val="baseline"/>
      </w:rPr>
    </w:lvl>
    <w:lvl w:ilvl="3">
      <w:start w:val="1"/>
      <w:numFmt w:val="decimal"/>
      <w:lvlText w:val="%1.%2.%3.%4."/>
      <w:lvlJc w:val="left"/>
      <w:pPr>
        <w:ind w:left="720" w:firstLine="0"/>
      </w:pPr>
      <w:rPr>
        <w:vertAlign w:val="baseline"/>
      </w:rPr>
    </w:lvl>
    <w:lvl w:ilvl="4">
      <w:start w:val="1"/>
      <w:numFmt w:val="decimal"/>
      <w:lvlText w:val="%1.%2.%3.%4.%5."/>
      <w:lvlJc w:val="left"/>
      <w:pPr>
        <w:ind w:left="1080" w:firstLine="0"/>
      </w:pPr>
      <w:rPr>
        <w:vertAlign w:val="baseline"/>
      </w:rPr>
    </w:lvl>
    <w:lvl w:ilvl="5">
      <w:start w:val="1"/>
      <w:numFmt w:val="decimal"/>
      <w:lvlText w:val="%1.%2.%3.%4.%5.%6."/>
      <w:lvlJc w:val="left"/>
      <w:pPr>
        <w:ind w:left="1080" w:firstLine="0"/>
      </w:pPr>
      <w:rPr>
        <w:vertAlign w:val="baseline"/>
      </w:rPr>
    </w:lvl>
    <w:lvl w:ilvl="6">
      <w:start w:val="1"/>
      <w:numFmt w:val="decimal"/>
      <w:lvlText w:val="%1.%2.%3.%4.%5.%6.%7."/>
      <w:lvlJc w:val="left"/>
      <w:pPr>
        <w:ind w:left="1440" w:firstLine="0"/>
      </w:pPr>
      <w:rPr>
        <w:vertAlign w:val="baseline"/>
      </w:rPr>
    </w:lvl>
    <w:lvl w:ilvl="7">
      <w:start w:val="1"/>
      <w:numFmt w:val="decimal"/>
      <w:lvlText w:val="%1.%2.%3.%4.%5.%6.%7.%8."/>
      <w:lvlJc w:val="left"/>
      <w:pPr>
        <w:ind w:left="1440" w:firstLine="0"/>
      </w:pPr>
      <w:rPr>
        <w:vertAlign w:val="baseline"/>
      </w:rPr>
    </w:lvl>
    <w:lvl w:ilvl="8">
      <w:start w:val="1"/>
      <w:numFmt w:val="decimal"/>
      <w:lvlText w:val="%1.%2.%3.%4.%5.%6.%7.%8.%9."/>
      <w:lvlJc w:val="left"/>
      <w:pPr>
        <w:ind w:left="1800" w:firstLine="0"/>
      </w:pPr>
      <w:rPr>
        <w:vertAlign w:val="baseline"/>
      </w:rPr>
    </w:lvl>
  </w:abstractNum>
  <w:abstractNum w:abstractNumId="9" w15:restartNumberingAfterBreak="0">
    <w:nsid w:val="2ADF7276"/>
    <w:multiLevelType w:val="multilevel"/>
    <w:tmpl w:val="E95C3256"/>
    <w:lvl w:ilvl="0">
      <w:start w:val="1"/>
      <w:numFmt w:val="bullet"/>
      <w:lvlText w:val=""/>
      <w:lvlJc w:val="left"/>
      <w:pPr>
        <w:ind w:left="644"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88572D5"/>
    <w:multiLevelType w:val="multilevel"/>
    <w:tmpl w:val="4CA27048"/>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1" w15:restartNumberingAfterBreak="0">
    <w:nsid w:val="3CDE4B75"/>
    <w:multiLevelType w:val="multilevel"/>
    <w:tmpl w:val="20F8530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15:restartNumberingAfterBreak="0">
    <w:nsid w:val="3D867106"/>
    <w:multiLevelType w:val="multilevel"/>
    <w:tmpl w:val="97E6F1D6"/>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3" w15:restartNumberingAfterBreak="0">
    <w:nsid w:val="3EAF0057"/>
    <w:multiLevelType w:val="hybridMultilevel"/>
    <w:tmpl w:val="A06CE976"/>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3F2953D5"/>
    <w:multiLevelType w:val="hybridMultilevel"/>
    <w:tmpl w:val="469E7D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FE500C5"/>
    <w:multiLevelType w:val="multilevel"/>
    <w:tmpl w:val="7D12A7B8"/>
    <w:lvl w:ilvl="0">
      <w:start w:val="1"/>
      <w:numFmt w:val="decimal"/>
      <w:lvlText w:val="%1."/>
      <w:lvlJc w:val="left"/>
      <w:pPr>
        <w:ind w:left="360" w:firstLine="0"/>
      </w:pPr>
      <w:rPr>
        <w:vertAlign w:val="baseline"/>
      </w:rPr>
    </w:lvl>
    <w:lvl w:ilvl="1">
      <w:start w:val="2"/>
      <w:numFmt w:val="decimal"/>
      <w:lvlText w:val="%1.%2."/>
      <w:lvlJc w:val="left"/>
      <w:pPr>
        <w:ind w:left="360" w:firstLine="0"/>
      </w:pPr>
      <w:rPr>
        <w:vertAlign w:val="baseline"/>
      </w:rPr>
    </w:lvl>
    <w:lvl w:ilvl="2">
      <w:start w:val="1"/>
      <w:numFmt w:val="decimal"/>
      <w:lvlText w:val="%1.%2.%3."/>
      <w:lvlJc w:val="left"/>
      <w:pPr>
        <w:ind w:left="720" w:firstLine="0"/>
      </w:pPr>
      <w:rPr>
        <w:vertAlign w:val="baseline"/>
      </w:rPr>
    </w:lvl>
    <w:lvl w:ilvl="3">
      <w:start w:val="1"/>
      <w:numFmt w:val="decimal"/>
      <w:lvlText w:val="%1.%2.%3.%4."/>
      <w:lvlJc w:val="left"/>
      <w:pPr>
        <w:ind w:left="720" w:firstLine="0"/>
      </w:pPr>
      <w:rPr>
        <w:vertAlign w:val="baseline"/>
      </w:rPr>
    </w:lvl>
    <w:lvl w:ilvl="4">
      <w:start w:val="1"/>
      <w:numFmt w:val="decimal"/>
      <w:lvlText w:val="%1.%2.%3.%4.%5."/>
      <w:lvlJc w:val="left"/>
      <w:pPr>
        <w:ind w:left="1080" w:firstLine="0"/>
      </w:pPr>
      <w:rPr>
        <w:vertAlign w:val="baseline"/>
      </w:rPr>
    </w:lvl>
    <w:lvl w:ilvl="5">
      <w:start w:val="1"/>
      <w:numFmt w:val="decimal"/>
      <w:lvlText w:val="%1.%2.%3.%4.%5.%6."/>
      <w:lvlJc w:val="left"/>
      <w:pPr>
        <w:ind w:left="1080" w:firstLine="0"/>
      </w:pPr>
      <w:rPr>
        <w:vertAlign w:val="baseline"/>
      </w:rPr>
    </w:lvl>
    <w:lvl w:ilvl="6">
      <w:start w:val="1"/>
      <w:numFmt w:val="decimal"/>
      <w:lvlText w:val="%1.%2.%3.%4.%5.%6.%7."/>
      <w:lvlJc w:val="left"/>
      <w:pPr>
        <w:ind w:left="1440" w:firstLine="0"/>
      </w:pPr>
      <w:rPr>
        <w:vertAlign w:val="baseline"/>
      </w:rPr>
    </w:lvl>
    <w:lvl w:ilvl="7">
      <w:start w:val="1"/>
      <w:numFmt w:val="decimal"/>
      <w:lvlText w:val="%1.%2.%3.%4.%5.%6.%7.%8."/>
      <w:lvlJc w:val="left"/>
      <w:pPr>
        <w:ind w:left="1440" w:firstLine="0"/>
      </w:pPr>
      <w:rPr>
        <w:vertAlign w:val="baseline"/>
      </w:rPr>
    </w:lvl>
    <w:lvl w:ilvl="8">
      <w:start w:val="1"/>
      <w:numFmt w:val="decimal"/>
      <w:lvlText w:val="%1.%2.%3.%4.%5.%6.%7.%8.%9."/>
      <w:lvlJc w:val="left"/>
      <w:pPr>
        <w:ind w:left="1800" w:firstLine="0"/>
      </w:pPr>
      <w:rPr>
        <w:vertAlign w:val="baseline"/>
      </w:rPr>
    </w:lvl>
  </w:abstractNum>
  <w:abstractNum w:abstractNumId="16" w15:restartNumberingAfterBreak="0">
    <w:nsid w:val="40733850"/>
    <w:multiLevelType w:val="multilevel"/>
    <w:tmpl w:val="438A59A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48790CF7"/>
    <w:multiLevelType w:val="hybridMultilevel"/>
    <w:tmpl w:val="6C9280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D4355C4"/>
    <w:multiLevelType w:val="multilevel"/>
    <w:tmpl w:val="C2443326"/>
    <w:lvl w:ilvl="0">
      <w:start w:val="1"/>
      <w:numFmt w:val="decimal"/>
      <w:lvlText w:val="%1."/>
      <w:lvlJc w:val="left"/>
      <w:pPr>
        <w:ind w:left="360" w:hanging="360"/>
      </w:pPr>
      <w:rPr>
        <w:rFonts w:hint="default"/>
      </w:rPr>
    </w:lvl>
    <w:lvl w:ilvl="1">
      <w:start w:val="1"/>
      <w:numFmt w:val="decimal"/>
      <w:lvlText w:val="%1.%2."/>
      <w:lvlJc w:val="left"/>
      <w:pPr>
        <w:ind w:left="740" w:hanging="360"/>
      </w:pPr>
      <w:rPr>
        <w:rFonts w:hint="default"/>
        <w:color w:val="5B9BD5" w:themeColor="accent1"/>
      </w:rPr>
    </w:lvl>
    <w:lvl w:ilvl="2">
      <w:start w:val="1"/>
      <w:numFmt w:val="decimal"/>
      <w:lvlText w:val="%1.%2.%3."/>
      <w:lvlJc w:val="left"/>
      <w:pPr>
        <w:ind w:left="1480" w:hanging="720"/>
      </w:pPr>
      <w:rPr>
        <w:rFonts w:hint="default"/>
      </w:rPr>
    </w:lvl>
    <w:lvl w:ilvl="3">
      <w:start w:val="1"/>
      <w:numFmt w:val="decimal"/>
      <w:lvlText w:val="%1.%2.%3.%4."/>
      <w:lvlJc w:val="left"/>
      <w:pPr>
        <w:ind w:left="1860" w:hanging="72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720" w:hanging="1440"/>
      </w:pPr>
      <w:rPr>
        <w:rFonts w:hint="default"/>
      </w:rPr>
    </w:lvl>
    <w:lvl w:ilvl="7">
      <w:start w:val="1"/>
      <w:numFmt w:val="decimal"/>
      <w:lvlText w:val="%1.%2.%3.%4.%5.%6.%7.%8."/>
      <w:lvlJc w:val="left"/>
      <w:pPr>
        <w:ind w:left="4100" w:hanging="1440"/>
      </w:pPr>
      <w:rPr>
        <w:rFonts w:hint="default"/>
      </w:rPr>
    </w:lvl>
    <w:lvl w:ilvl="8">
      <w:start w:val="1"/>
      <w:numFmt w:val="decimal"/>
      <w:lvlText w:val="%1.%2.%3.%4.%5.%6.%7.%8.%9."/>
      <w:lvlJc w:val="left"/>
      <w:pPr>
        <w:ind w:left="4840" w:hanging="1800"/>
      </w:pPr>
      <w:rPr>
        <w:rFonts w:hint="default"/>
      </w:rPr>
    </w:lvl>
  </w:abstractNum>
  <w:abstractNum w:abstractNumId="19" w15:restartNumberingAfterBreak="0">
    <w:nsid w:val="4E206E26"/>
    <w:multiLevelType w:val="hybridMultilevel"/>
    <w:tmpl w:val="3A24EC56"/>
    <w:lvl w:ilvl="0" w:tplc="1556C21E">
      <w:start w:val="1"/>
      <w:numFmt w:val="bullet"/>
      <w:lvlText w:val=""/>
      <w:lvlJc w:val="left"/>
      <w:pPr>
        <w:tabs>
          <w:tab w:val="num" w:pos="720"/>
        </w:tabs>
        <w:ind w:left="720" w:hanging="436"/>
      </w:pPr>
      <w:rPr>
        <w:rFonts w:ascii="Symbol" w:hAnsi="Symbol"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59241589"/>
    <w:multiLevelType w:val="hybridMultilevel"/>
    <w:tmpl w:val="AB7414F2"/>
    <w:lvl w:ilvl="0" w:tplc="74DC8D06">
      <w:start w:val="1"/>
      <w:numFmt w:val="bullet"/>
      <w:lvlText w:val=""/>
      <w:lvlJc w:val="left"/>
      <w:pPr>
        <w:tabs>
          <w:tab w:val="num" w:pos="720"/>
        </w:tabs>
        <w:ind w:left="720" w:hanging="436"/>
      </w:pPr>
      <w:rPr>
        <w:rFonts w:ascii="Symbol" w:hAnsi="Symbol"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1" w15:restartNumberingAfterBreak="0">
    <w:nsid w:val="5BAD331E"/>
    <w:multiLevelType w:val="multilevel"/>
    <w:tmpl w:val="9DDEE018"/>
    <w:lvl w:ilvl="0">
      <w:start w:val="1"/>
      <w:numFmt w:val="decimal"/>
      <w:lvlText w:val="%1."/>
      <w:lvlJc w:val="left"/>
      <w:pPr>
        <w:ind w:left="1080" w:firstLine="720"/>
      </w:pPr>
      <w:rPr>
        <w:vertAlign w:val="baseline"/>
      </w:rPr>
    </w:lvl>
    <w:lvl w:ilvl="1">
      <w:start w:val="1"/>
      <w:numFmt w:val="lowerLetter"/>
      <w:lvlText w:val="%2."/>
      <w:lvlJc w:val="left"/>
      <w:pPr>
        <w:ind w:left="1800" w:firstLine="1440"/>
      </w:pPr>
      <w:rPr>
        <w:vertAlign w:val="baseline"/>
      </w:rPr>
    </w:lvl>
    <w:lvl w:ilvl="2">
      <w:start w:val="1"/>
      <w:numFmt w:val="lowerRoman"/>
      <w:lvlText w:val="%3."/>
      <w:lvlJc w:val="right"/>
      <w:pPr>
        <w:ind w:left="2520" w:firstLine="2340"/>
      </w:pPr>
      <w:rPr>
        <w:vertAlign w:val="baseline"/>
      </w:rPr>
    </w:lvl>
    <w:lvl w:ilvl="3">
      <w:start w:val="1"/>
      <w:numFmt w:val="decimal"/>
      <w:lvlText w:val="%4."/>
      <w:lvlJc w:val="left"/>
      <w:pPr>
        <w:ind w:left="3240" w:firstLine="2880"/>
      </w:pPr>
      <w:rPr>
        <w:vertAlign w:val="baseline"/>
      </w:rPr>
    </w:lvl>
    <w:lvl w:ilvl="4">
      <w:start w:val="1"/>
      <w:numFmt w:val="lowerLetter"/>
      <w:lvlText w:val="%5."/>
      <w:lvlJc w:val="left"/>
      <w:pPr>
        <w:ind w:left="3960" w:firstLine="3600"/>
      </w:pPr>
      <w:rPr>
        <w:vertAlign w:val="baseline"/>
      </w:rPr>
    </w:lvl>
    <w:lvl w:ilvl="5">
      <w:start w:val="1"/>
      <w:numFmt w:val="lowerRoman"/>
      <w:lvlText w:val="%6."/>
      <w:lvlJc w:val="right"/>
      <w:pPr>
        <w:ind w:left="4680" w:firstLine="4500"/>
      </w:pPr>
      <w:rPr>
        <w:vertAlign w:val="baseline"/>
      </w:rPr>
    </w:lvl>
    <w:lvl w:ilvl="6">
      <w:start w:val="1"/>
      <w:numFmt w:val="decimal"/>
      <w:lvlText w:val="%7."/>
      <w:lvlJc w:val="left"/>
      <w:pPr>
        <w:ind w:left="5400" w:firstLine="5040"/>
      </w:pPr>
      <w:rPr>
        <w:vertAlign w:val="baseline"/>
      </w:rPr>
    </w:lvl>
    <w:lvl w:ilvl="7">
      <w:start w:val="1"/>
      <w:numFmt w:val="lowerLetter"/>
      <w:lvlText w:val="%8."/>
      <w:lvlJc w:val="left"/>
      <w:pPr>
        <w:ind w:left="6120" w:firstLine="5760"/>
      </w:pPr>
      <w:rPr>
        <w:vertAlign w:val="baseline"/>
      </w:rPr>
    </w:lvl>
    <w:lvl w:ilvl="8">
      <w:start w:val="1"/>
      <w:numFmt w:val="lowerRoman"/>
      <w:lvlText w:val="%9."/>
      <w:lvlJc w:val="right"/>
      <w:pPr>
        <w:ind w:left="6840" w:firstLine="6660"/>
      </w:pPr>
      <w:rPr>
        <w:vertAlign w:val="baseline"/>
      </w:rPr>
    </w:lvl>
  </w:abstractNum>
  <w:abstractNum w:abstractNumId="22" w15:restartNumberingAfterBreak="0">
    <w:nsid w:val="5F6623BC"/>
    <w:multiLevelType w:val="hybridMultilevel"/>
    <w:tmpl w:val="89B66A9C"/>
    <w:lvl w:ilvl="0" w:tplc="6E0AF2A6">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44A4678"/>
    <w:multiLevelType w:val="multilevel"/>
    <w:tmpl w:val="B804FD8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7B961A5"/>
    <w:multiLevelType w:val="multilevel"/>
    <w:tmpl w:val="A0EC096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5" w15:restartNumberingAfterBreak="0">
    <w:nsid w:val="67FA1CB3"/>
    <w:multiLevelType w:val="multilevel"/>
    <w:tmpl w:val="8686306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6" w15:restartNumberingAfterBreak="0">
    <w:nsid w:val="6CF70121"/>
    <w:multiLevelType w:val="multilevel"/>
    <w:tmpl w:val="FE886884"/>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27" w15:restartNumberingAfterBreak="0">
    <w:nsid w:val="7C006C97"/>
    <w:multiLevelType w:val="multilevel"/>
    <w:tmpl w:val="4822D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5"/>
  </w:num>
  <w:num w:numId="3">
    <w:abstractNumId w:val="10"/>
  </w:num>
  <w:num w:numId="4">
    <w:abstractNumId w:val="26"/>
  </w:num>
  <w:num w:numId="5">
    <w:abstractNumId w:val="2"/>
  </w:num>
  <w:num w:numId="6">
    <w:abstractNumId w:val="21"/>
  </w:num>
  <w:num w:numId="7">
    <w:abstractNumId w:val="12"/>
  </w:num>
  <w:num w:numId="8">
    <w:abstractNumId w:val="8"/>
  </w:num>
  <w:num w:numId="9">
    <w:abstractNumId w:val="1"/>
  </w:num>
  <w:num w:numId="10">
    <w:abstractNumId w:val="24"/>
  </w:num>
  <w:num w:numId="11">
    <w:abstractNumId w:val="15"/>
  </w:num>
  <w:num w:numId="12">
    <w:abstractNumId w:val="18"/>
  </w:num>
  <w:num w:numId="13">
    <w:abstractNumId w:val="14"/>
  </w:num>
  <w:num w:numId="14">
    <w:abstractNumId w:val="23"/>
  </w:num>
  <w:num w:numId="15">
    <w:abstractNumId w:val="16"/>
  </w:num>
  <w:num w:numId="16">
    <w:abstractNumId w:val="22"/>
  </w:num>
  <w:num w:numId="17">
    <w:abstractNumId w:val="0"/>
  </w:num>
  <w:num w:numId="18">
    <w:abstractNumId w:val="4"/>
  </w:num>
  <w:num w:numId="19">
    <w:abstractNumId w:val="13"/>
  </w:num>
  <w:num w:numId="20">
    <w:abstractNumId w:val="17"/>
  </w:num>
  <w:num w:numId="21">
    <w:abstractNumId w:val="9"/>
  </w:num>
  <w:num w:numId="22">
    <w:abstractNumId w:val="20"/>
  </w:num>
  <w:num w:numId="23">
    <w:abstractNumId w:val="19"/>
  </w:num>
  <w:num w:numId="24">
    <w:abstractNumId w:val="3"/>
  </w:num>
  <w:num w:numId="25">
    <w:abstractNumId w:val="6"/>
  </w:num>
  <w:num w:numId="26">
    <w:abstractNumId w:val="27"/>
  </w:num>
  <w:num w:numId="27">
    <w:abstractNumId w:val="7"/>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0"/>
  <w:displayBackgroundShape/>
  <w:activeWritingStyle w:appName="MSWord" w:lang="fr-FR" w:vendorID="64" w:dllVersion="131078" w:nlCheck="1" w:checkStyle="0"/>
  <w:activeWritingStyle w:appName="MSWord" w:lang="es-CO"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76D"/>
    <w:rsid w:val="000065D9"/>
    <w:rsid w:val="00017451"/>
    <w:rsid w:val="0002202C"/>
    <w:rsid w:val="00023C75"/>
    <w:rsid w:val="0003620B"/>
    <w:rsid w:val="00037C32"/>
    <w:rsid w:val="00037E8A"/>
    <w:rsid w:val="00045A41"/>
    <w:rsid w:val="00051759"/>
    <w:rsid w:val="000577EC"/>
    <w:rsid w:val="00065C66"/>
    <w:rsid w:val="00073F40"/>
    <w:rsid w:val="000856DE"/>
    <w:rsid w:val="000B5DB9"/>
    <w:rsid w:val="000D43C1"/>
    <w:rsid w:val="000F1A02"/>
    <w:rsid w:val="000F4F9A"/>
    <w:rsid w:val="00107D5B"/>
    <w:rsid w:val="0011478E"/>
    <w:rsid w:val="00122600"/>
    <w:rsid w:val="00124790"/>
    <w:rsid w:val="00126B7A"/>
    <w:rsid w:val="001322FA"/>
    <w:rsid w:val="00134EA6"/>
    <w:rsid w:val="00141425"/>
    <w:rsid w:val="00157CFF"/>
    <w:rsid w:val="00162DCD"/>
    <w:rsid w:val="00170FDE"/>
    <w:rsid w:val="001855A2"/>
    <w:rsid w:val="0018618A"/>
    <w:rsid w:val="00187539"/>
    <w:rsid w:val="001A10CB"/>
    <w:rsid w:val="001B2A85"/>
    <w:rsid w:val="001C0A12"/>
    <w:rsid w:val="001E4835"/>
    <w:rsid w:val="001E6AEC"/>
    <w:rsid w:val="001E6F39"/>
    <w:rsid w:val="001E7190"/>
    <w:rsid w:val="001F2629"/>
    <w:rsid w:val="001F60A1"/>
    <w:rsid w:val="001F687B"/>
    <w:rsid w:val="00203CF4"/>
    <w:rsid w:val="002222ED"/>
    <w:rsid w:val="00224C25"/>
    <w:rsid w:val="002644DB"/>
    <w:rsid w:val="00264DA1"/>
    <w:rsid w:val="00271E2D"/>
    <w:rsid w:val="0028674A"/>
    <w:rsid w:val="002951AE"/>
    <w:rsid w:val="002A5989"/>
    <w:rsid w:val="002B0C52"/>
    <w:rsid w:val="002B7F25"/>
    <w:rsid w:val="002C183F"/>
    <w:rsid w:val="002D277E"/>
    <w:rsid w:val="002F65C9"/>
    <w:rsid w:val="002F7D34"/>
    <w:rsid w:val="003035CB"/>
    <w:rsid w:val="00311A52"/>
    <w:rsid w:val="003248E7"/>
    <w:rsid w:val="0032528B"/>
    <w:rsid w:val="00345865"/>
    <w:rsid w:val="00365F27"/>
    <w:rsid w:val="00373FBC"/>
    <w:rsid w:val="003750B7"/>
    <w:rsid w:val="00384D7B"/>
    <w:rsid w:val="003A5CD7"/>
    <w:rsid w:val="003C692F"/>
    <w:rsid w:val="003F4695"/>
    <w:rsid w:val="003F4F2D"/>
    <w:rsid w:val="00403193"/>
    <w:rsid w:val="00410E6A"/>
    <w:rsid w:val="00425402"/>
    <w:rsid w:val="00442D8F"/>
    <w:rsid w:val="00447C01"/>
    <w:rsid w:val="0045584F"/>
    <w:rsid w:val="00460EA6"/>
    <w:rsid w:val="00471E85"/>
    <w:rsid w:val="00472187"/>
    <w:rsid w:val="004773D1"/>
    <w:rsid w:val="00486BD7"/>
    <w:rsid w:val="004975C7"/>
    <w:rsid w:val="004A0EEA"/>
    <w:rsid w:val="004A53A8"/>
    <w:rsid w:val="004B4040"/>
    <w:rsid w:val="004B5FD3"/>
    <w:rsid w:val="004B68BC"/>
    <w:rsid w:val="004E0F72"/>
    <w:rsid w:val="004E7687"/>
    <w:rsid w:val="004F734D"/>
    <w:rsid w:val="005022E9"/>
    <w:rsid w:val="0053302B"/>
    <w:rsid w:val="00555697"/>
    <w:rsid w:val="005626EB"/>
    <w:rsid w:val="005671C7"/>
    <w:rsid w:val="00574BD3"/>
    <w:rsid w:val="00583F3E"/>
    <w:rsid w:val="005A1A5D"/>
    <w:rsid w:val="005C0828"/>
    <w:rsid w:val="005D1CAC"/>
    <w:rsid w:val="005E0234"/>
    <w:rsid w:val="005F298F"/>
    <w:rsid w:val="005F4D3C"/>
    <w:rsid w:val="00603551"/>
    <w:rsid w:val="0063176D"/>
    <w:rsid w:val="0064599D"/>
    <w:rsid w:val="00654E2E"/>
    <w:rsid w:val="00656218"/>
    <w:rsid w:val="006631B9"/>
    <w:rsid w:val="00666464"/>
    <w:rsid w:val="00692842"/>
    <w:rsid w:val="006A2610"/>
    <w:rsid w:val="006A4EE9"/>
    <w:rsid w:val="006A5E35"/>
    <w:rsid w:val="006B1C77"/>
    <w:rsid w:val="006B356D"/>
    <w:rsid w:val="006B5D21"/>
    <w:rsid w:val="006B6EB5"/>
    <w:rsid w:val="006C148C"/>
    <w:rsid w:val="006C3172"/>
    <w:rsid w:val="006D478C"/>
    <w:rsid w:val="006D594D"/>
    <w:rsid w:val="006E1245"/>
    <w:rsid w:val="006F7312"/>
    <w:rsid w:val="007117D0"/>
    <w:rsid w:val="00715E65"/>
    <w:rsid w:val="00720F4B"/>
    <w:rsid w:val="007246EA"/>
    <w:rsid w:val="00733FAB"/>
    <w:rsid w:val="007356AA"/>
    <w:rsid w:val="00742039"/>
    <w:rsid w:val="00757BF7"/>
    <w:rsid w:val="00760174"/>
    <w:rsid w:val="007705D0"/>
    <w:rsid w:val="0077416A"/>
    <w:rsid w:val="007751E2"/>
    <w:rsid w:val="007802C0"/>
    <w:rsid w:val="007909E0"/>
    <w:rsid w:val="007935BA"/>
    <w:rsid w:val="007A0BA8"/>
    <w:rsid w:val="007C2EA4"/>
    <w:rsid w:val="007C59F1"/>
    <w:rsid w:val="007C7A06"/>
    <w:rsid w:val="007D0110"/>
    <w:rsid w:val="007D1227"/>
    <w:rsid w:val="00801BAF"/>
    <w:rsid w:val="008040D4"/>
    <w:rsid w:val="0080685D"/>
    <w:rsid w:val="008134F4"/>
    <w:rsid w:val="0081447E"/>
    <w:rsid w:val="0081492D"/>
    <w:rsid w:val="00815F9C"/>
    <w:rsid w:val="0082485A"/>
    <w:rsid w:val="00830362"/>
    <w:rsid w:val="00847949"/>
    <w:rsid w:val="00862CFE"/>
    <w:rsid w:val="0086644D"/>
    <w:rsid w:val="00867E8B"/>
    <w:rsid w:val="008903CA"/>
    <w:rsid w:val="008932F3"/>
    <w:rsid w:val="008A21F4"/>
    <w:rsid w:val="008A7F45"/>
    <w:rsid w:val="008B0029"/>
    <w:rsid w:val="008B4271"/>
    <w:rsid w:val="008B43BF"/>
    <w:rsid w:val="008C0D1E"/>
    <w:rsid w:val="008C492C"/>
    <w:rsid w:val="008E28A0"/>
    <w:rsid w:val="008E7B1B"/>
    <w:rsid w:val="008F0D9F"/>
    <w:rsid w:val="008F62CF"/>
    <w:rsid w:val="00902D86"/>
    <w:rsid w:val="00905032"/>
    <w:rsid w:val="00915800"/>
    <w:rsid w:val="00937B6F"/>
    <w:rsid w:val="009429B2"/>
    <w:rsid w:val="00942F14"/>
    <w:rsid w:val="0095144C"/>
    <w:rsid w:val="00961642"/>
    <w:rsid w:val="00966F3D"/>
    <w:rsid w:val="009741C4"/>
    <w:rsid w:val="00974498"/>
    <w:rsid w:val="00975B2C"/>
    <w:rsid w:val="00976B0E"/>
    <w:rsid w:val="00976D52"/>
    <w:rsid w:val="009812DB"/>
    <w:rsid w:val="009865E2"/>
    <w:rsid w:val="00991EBD"/>
    <w:rsid w:val="0099487C"/>
    <w:rsid w:val="0099722B"/>
    <w:rsid w:val="009B5CF9"/>
    <w:rsid w:val="009B728C"/>
    <w:rsid w:val="009C6090"/>
    <w:rsid w:val="009C6233"/>
    <w:rsid w:val="009E11AE"/>
    <w:rsid w:val="009E6DE7"/>
    <w:rsid w:val="009F3857"/>
    <w:rsid w:val="00A02E95"/>
    <w:rsid w:val="00A116AB"/>
    <w:rsid w:val="00A15135"/>
    <w:rsid w:val="00A202C6"/>
    <w:rsid w:val="00A236C8"/>
    <w:rsid w:val="00A24AA3"/>
    <w:rsid w:val="00A26E4E"/>
    <w:rsid w:val="00A367F0"/>
    <w:rsid w:val="00A8243B"/>
    <w:rsid w:val="00A8554C"/>
    <w:rsid w:val="00A906F1"/>
    <w:rsid w:val="00AA5732"/>
    <w:rsid w:val="00AB5230"/>
    <w:rsid w:val="00AC34D2"/>
    <w:rsid w:val="00AC3C3D"/>
    <w:rsid w:val="00AC6676"/>
    <w:rsid w:val="00AD02A3"/>
    <w:rsid w:val="00AD09C0"/>
    <w:rsid w:val="00AD7F00"/>
    <w:rsid w:val="00AE01E9"/>
    <w:rsid w:val="00AE4BAD"/>
    <w:rsid w:val="00AE5C87"/>
    <w:rsid w:val="00AE6C49"/>
    <w:rsid w:val="00AE7416"/>
    <w:rsid w:val="00B022E6"/>
    <w:rsid w:val="00B16E5E"/>
    <w:rsid w:val="00B335A4"/>
    <w:rsid w:val="00B3586F"/>
    <w:rsid w:val="00B36EC8"/>
    <w:rsid w:val="00B4270F"/>
    <w:rsid w:val="00B45A4B"/>
    <w:rsid w:val="00B5099F"/>
    <w:rsid w:val="00B84E67"/>
    <w:rsid w:val="00B87D18"/>
    <w:rsid w:val="00B93557"/>
    <w:rsid w:val="00B94536"/>
    <w:rsid w:val="00B973B9"/>
    <w:rsid w:val="00BA29BF"/>
    <w:rsid w:val="00BC3447"/>
    <w:rsid w:val="00BC4395"/>
    <w:rsid w:val="00BC5D6A"/>
    <w:rsid w:val="00BE1B91"/>
    <w:rsid w:val="00BF4622"/>
    <w:rsid w:val="00C00D6C"/>
    <w:rsid w:val="00C2293E"/>
    <w:rsid w:val="00C3264E"/>
    <w:rsid w:val="00C32D96"/>
    <w:rsid w:val="00C33E42"/>
    <w:rsid w:val="00C36167"/>
    <w:rsid w:val="00C72AB3"/>
    <w:rsid w:val="00C7759D"/>
    <w:rsid w:val="00C83B68"/>
    <w:rsid w:val="00CB38BD"/>
    <w:rsid w:val="00CB541C"/>
    <w:rsid w:val="00CB64DE"/>
    <w:rsid w:val="00CB7DAB"/>
    <w:rsid w:val="00CB7F04"/>
    <w:rsid w:val="00CC31E5"/>
    <w:rsid w:val="00CC4913"/>
    <w:rsid w:val="00CD7E9B"/>
    <w:rsid w:val="00CE050B"/>
    <w:rsid w:val="00CE5508"/>
    <w:rsid w:val="00CF2041"/>
    <w:rsid w:val="00CF402D"/>
    <w:rsid w:val="00D05F3D"/>
    <w:rsid w:val="00D065B2"/>
    <w:rsid w:val="00D0787B"/>
    <w:rsid w:val="00D10D2F"/>
    <w:rsid w:val="00D20B3F"/>
    <w:rsid w:val="00D20B47"/>
    <w:rsid w:val="00D333A9"/>
    <w:rsid w:val="00D50DFD"/>
    <w:rsid w:val="00D528E0"/>
    <w:rsid w:val="00D52A8A"/>
    <w:rsid w:val="00D83B68"/>
    <w:rsid w:val="00D93A61"/>
    <w:rsid w:val="00D95BC3"/>
    <w:rsid w:val="00DA705E"/>
    <w:rsid w:val="00DE3B74"/>
    <w:rsid w:val="00DF69CC"/>
    <w:rsid w:val="00DF713C"/>
    <w:rsid w:val="00DF76EA"/>
    <w:rsid w:val="00E10EFC"/>
    <w:rsid w:val="00E11989"/>
    <w:rsid w:val="00E13836"/>
    <w:rsid w:val="00E157AA"/>
    <w:rsid w:val="00E323C3"/>
    <w:rsid w:val="00E332C5"/>
    <w:rsid w:val="00E4417D"/>
    <w:rsid w:val="00E44F8A"/>
    <w:rsid w:val="00E61EA2"/>
    <w:rsid w:val="00E63AFA"/>
    <w:rsid w:val="00E63C5A"/>
    <w:rsid w:val="00E81FF3"/>
    <w:rsid w:val="00E97470"/>
    <w:rsid w:val="00EA04A8"/>
    <w:rsid w:val="00EB06FA"/>
    <w:rsid w:val="00EF1C72"/>
    <w:rsid w:val="00EF4E1B"/>
    <w:rsid w:val="00F12204"/>
    <w:rsid w:val="00F14F4C"/>
    <w:rsid w:val="00F15479"/>
    <w:rsid w:val="00F2219B"/>
    <w:rsid w:val="00F5748C"/>
    <w:rsid w:val="00F86174"/>
    <w:rsid w:val="00F91325"/>
    <w:rsid w:val="00FA0BD9"/>
    <w:rsid w:val="00FA4147"/>
    <w:rsid w:val="00FB5ACC"/>
    <w:rsid w:val="00FB6C95"/>
    <w:rsid w:val="00FC1AD9"/>
    <w:rsid w:val="00FF60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AFC1A3"/>
  <w15:docId w15:val="{3EB1C59F-47C3-4FA8-833B-CB8EB99E4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4C4845"/>
        <w:highlight w:val="white"/>
        <w:lang w:val="en-US" w:eastAsia="en-US" w:bidi="ar-SA"/>
      </w:rPr>
    </w:rPrDefault>
    <w:pPrDefault>
      <w:pPr>
        <w:ind w:left="720" w:hanging="360"/>
        <w:contextualSpacing/>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ListParagraph">
    <w:name w:val="List Paragraph"/>
    <w:basedOn w:val="Normal"/>
    <w:uiPriority w:val="34"/>
    <w:qFormat/>
    <w:rsid w:val="0053302B"/>
  </w:style>
  <w:style w:type="character" w:styleId="Hyperlink">
    <w:name w:val="Hyperlink"/>
    <w:basedOn w:val="DefaultParagraphFont"/>
    <w:uiPriority w:val="99"/>
    <w:unhideWhenUsed/>
    <w:rsid w:val="00B5099F"/>
    <w:rPr>
      <w:color w:val="0563C1" w:themeColor="hyperlink"/>
      <w:u w:val="single"/>
    </w:rPr>
  </w:style>
  <w:style w:type="paragraph" w:styleId="Header">
    <w:name w:val="header"/>
    <w:basedOn w:val="Normal"/>
    <w:link w:val="HeaderChar"/>
    <w:uiPriority w:val="99"/>
    <w:unhideWhenUsed/>
    <w:rsid w:val="00692842"/>
    <w:pPr>
      <w:tabs>
        <w:tab w:val="center" w:pos="4680"/>
        <w:tab w:val="right" w:pos="9360"/>
      </w:tabs>
    </w:pPr>
  </w:style>
  <w:style w:type="character" w:customStyle="1" w:styleId="HeaderChar">
    <w:name w:val="Header Char"/>
    <w:basedOn w:val="DefaultParagraphFont"/>
    <w:link w:val="Header"/>
    <w:uiPriority w:val="99"/>
    <w:rsid w:val="00692842"/>
  </w:style>
  <w:style w:type="paragraph" w:styleId="Footer">
    <w:name w:val="footer"/>
    <w:basedOn w:val="Normal"/>
    <w:link w:val="FooterChar"/>
    <w:uiPriority w:val="99"/>
    <w:unhideWhenUsed/>
    <w:rsid w:val="00692842"/>
    <w:pPr>
      <w:tabs>
        <w:tab w:val="center" w:pos="4680"/>
        <w:tab w:val="right" w:pos="9360"/>
      </w:tabs>
    </w:pPr>
  </w:style>
  <w:style w:type="character" w:customStyle="1" w:styleId="FooterChar">
    <w:name w:val="Footer Char"/>
    <w:basedOn w:val="DefaultParagraphFont"/>
    <w:link w:val="Footer"/>
    <w:uiPriority w:val="99"/>
    <w:rsid w:val="00692842"/>
  </w:style>
  <w:style w:type="paragraph" w:styleId="BalloonText">
    <w:name w:val="Balloon Text"/>
    <w:basedOn w:val="Normal"/>
    <w:link w:val="BalloonTextChar"/>
    <w:uiPriority w:val="99"/>
    <w:semiHidden/>
    <w:unhideWhenUsed/>
    <w:rsid w:val="00365F2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5F27"/>
    <w:rPr>
      <w:rFonts w:ascii="Segoe UI" w:hAnsi="Segoe UI" w:cs="Segoe UI"/>
      <w:sz w:val="18"/>
      <w:szCs w:val="18"/>
    </w:rPr>
  </w:style>
  <w:style w:type="character" w:styleId="FollowedHyperlink">
    <w:name w:val="FollowedHyperlink"/>
    <w:basedOn w:val="DefaultParagraphFont"/>
    <w:uiPriority w:val="99"/>
    <w:semiHidden/>
    <w:unhideWhenUsed/>
    <w:rsid w:val="001F687B"/>
    <w:rPr>
      <w:color w:val="954F72" w:themeColor="followedHyperlink"/>
      <w:u w:val="single"/>
    </w:rPr>
  </w:style>
  <w:style w:type="paragraph" w:styleId="FootnoteText">
    <w:name w:val="footnote text"/>
    <w:basedOn w:val="Normal"/>
    <w:link w:val="FootnoteTextChar"/>
    <w:uiPriority w:val="99"/>
    <w:unhideWhenUsed/>
    <w:rsid w:val="00D10D2F"/>
    <w:rPr>
      <w:sz w:val="24"/>
      <w:szCs w:val="24"/>
    </w:rPr>
  </w:style>
  <w:style w:type="character" w:customStyle="1" w:styleId="FootnoteTextChar">
    <w:name w:val="Footnote Text Char"/>
    <w:basedOn w:val="DefaultParagraphFont"/>
    <w:link w:val="FootnoteText"/>
    <w:uiPriority w:val="99"/>
    <w:rsid w:val="00D10D2F"/>
    <w:rPr>
      <w:sz w:val="24"/>
      <w:szCs w:val="24"/>
    </w:rPr>
  </w:style>
  <w:style w:type="character" w:styleId="FootnoteReference">
    <w:name w:val="footnote reference"/>
    <w:basedOn w:val="DefaultParagraphFont"/>
    <w:uiPriority w:val="99"/>
    <w:unhideWhenUsed/>
    <w:rsid w:val="00D10D2F"/>
    <w:rPr>
      <w:vertAlign w:val="superscript"/>
    </w:rPr>
  </w:style>
  <w:style w:type="table" w:styleId="TableGrid">
    <w:name w:val="Table Grid"/>
    <w:basedOn w:val="TableNormal"/>
    <w:uiPriority w:val="39"/>
    <w:rsid w:val="00F574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70FDE"/>
    <w:rPr>
      <w:sz w:val="18"/>
      <w:szCs w:val="18"/>
    </w:rPr>
  </w:style>
  <w:style w:type="paragraph" w:styleId="CommentText">
    <w:name w:val="annotation text"/>
    <w:basedOn w:val="Normal"/>
    <w:link w:val="CommentTextChar"/>
    <w:uiPriority w:val="99"/>
    <w:unhideWhenUsed/>
    <w:rsid w:val="00170FDE"/>
    <w:rPr>
      <w:sz w:val="24"/>
      <w:szCs w:val="24"/>
    </w:rPr>
  </w:style>
  <w:style w:type="character" w:customStyle="1" w:styleId="CommentTextChar">
    <w:name w:val="Comment Text Char"/>
    <w:basedOn w:val="DefaultParagraphFont"/>
    <w:link w:val="CommentText"/>
    <w:uiPriority w:val="99"/>
    <w:rsid w:val="00170FDE"/>
    <w:rPr>
      <w:sz w:val="24"/>
      <w:szCs w:val="24"/>
    </w:rPr>
  </w:style>
  <w:style w:type="paragraph" w:styleId="CommentSubject">
    <w:name w:val="annotation subject"/>
    <w:basedOn w:val="CommentText"/>
    <w:next w:val="CommentText"/>
    <w:link w:val="CommentSubjectChar"/>
    <w:uiPriority w:val="99"/>
    <w:semiHidden/>
    <w:unhideWhenUsed/>
    <w:rsid w:val="00170FDE"/>
    <w:rPr>
      <w:b/>
      <w:bCs/>
      <w:sz w:val="20"/>
      <w:szCs w:val="20"/>
    </w:rPr>
  </w:style>
  <w:style w:type="character" w:customStyle="1" w:styleId="CommentSubjectChar">
    <w:name w:val="Comment Subject Char"/>
    <w:basedOn w:val="CommentTextChar"/>
    <w:link w:val="CommentSubject"/>
    <w:uiPriority w:val="99"/>
    <w:semiHidden/>
    <w:rsid w:val="00170FDE"/>
    <w:rPr>
      <w:b/>
      <w:bCs/>
      <w:sz w:val="24"/>
      <w:szCs w:val="24"/>
    </w:rPr>
  </w:style>
  <w:style w:type="paragraph" w:customStyle="1" w:styleId="TableParagraph">
    <w:name w:val="Table Paragraph"/>
    <w:basedOn w:val="Normal"/>
    <w:uiPriority w:val="1"/>
    <w:qFormat/>
    <w:rsid w:val="00170FDE"/>
    <w:pPr>
      <w:widowControl w:val="0"/>
      <w:autoSpaceDE w:val="0"/>
      <w:autoSpaceDN w:val="0"/>
      <w:ind w:left="0" w:firstLine="0"/>
      <w:contextualSpacing w:val="0"/>
      <w:jc w:val="left"/>
    </w:pPr>
    <w:rPr>
      <w:rFonts w:ascii="Times New Roman" w:eastAsia="Times New Roman" w:hAnsi="Times New Roman" w:cs="Times New Roman"/>
      <w:color w:val="auto"/>
      <w:sz w:val="22"/>
      <w:szCs w:val="22"/>
      <w:highlight w:val="none"/>
      <w:lang w:bidi="en-US"/>
    </w:rPr>
  </w:style>
  <w:style w:type="paragraph" w:styleId="Revision">
    <w:name w:val="Revision"/>
    <w:hidden/>
    <w:uiPriority w:val="99"/>
    <w:semiHidden/>
    <w:rsid w:val="00B84E67"/>
    <w:pPr>
      <w:ind w:left="0" w:firstLine="0"/>
      <w:contextualSpacing w:val="0"/>
      <w:jc w:val="left"/>
    </w:pPr>
  </w:style>
  <w:style w:type="paragraph" w:styleId="NormalWeb">
    <w:name w:val="Normal (Web)"/>
    <w:basedOn w:val="Normal"/>
    <w:uiPriority w:val="99"/>
    <w:semiHidden/>
    <w:unhideWhenUsed/>
    <w:rsid w:val="00017451"/>
    <w:pPr>
      <w:spacing w:before="100" w:beforeAutospacing="1" w:after="100" w:afterAutospacing="1"/>
      <w:ind w:left="0" w:firstLine="0"/>
      <w:contextualSpacing w:val="0"/>
      <w:jc w:val="left"/>
    </w:pPr>
    <w:rPr>
      <w:rFonts w:ascii="Times" w:hAnsi="Times" w:cs="Times New Roman"/>
      <w:color w:val="auto"/>
      <w:highlight w:val="none"/>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6487">
      <w:bodyDiv w:val="1"/>
      <w:marLeft w:val="0"/>
      <w:marRight w:val="0"/>
      <w:marTop w:val="0"/>
      <w:marBottom w:val="0"/>
      <w:divBdr>
        <w:top w:val="none" w:sz="0" w:space="0" w:color="auto"/>
        <w:left w:val="none" w:sz="0" w:space="0" w:color="auto"/>
        <w:bottom w:val="none" w:sz="0" w:space="0" w:color="auto"/>
        <w:right w:val="none" w:sz="0" w:space="0" w:color="auto"/>
      </w:divBdr>
    </w:div>
    <w:div w:id="122584433">
      <w:bodyDiv w:val="1"/>
      <w:marLeft w:val="0"/>
      <w:marRight w:val="0"/>
      <w:marTop w:val="0"/>
      <w:marBottom w:val="0"/>
      <w:divBdr>
        <w:top w:val="none" w:sz="0" w:space="0" w:color="auto"/>
        <w:left w:val="none" w:sz="0" w:space="0" w:color="auto"/>
        <w:bottom w:val="none" w:sz="0" w:space="0" w:color="auto"/>
        <w:right w:val="none" w:sz="0" w:space="0" w:color="auto"/>
      </w:divBdr>
    </w:div>
    <w:div w:id="143666481">
      <w:bodyDiv w:val="1"/>
      <w:marLeft w:val="0"/>
      <w:marRight w:val="0"/>
      <w:marTop w:val="0"/>
      <w:marBottom w:val="0"/>
      <w:divBdr>
        <w:top w:val="none" w:sz="0" w:space="0" w:color="auto"/>
        <w:left w:val="none" w:sz="0" w:space="0" w:color="auto"/>
        <w:bottom w:val="none" w:sz="0" w:space="0" w:color="auto"/>
        <w:right w:val="none" w:sz="0" w:space="0" w:color="auto"/>
      </w:divBdr>
    </w:div>
    <w:div w:id="148060119">
      <w:bodyDiv w:val="1"/>
      <w:marLeft w:val="0"/>
      <w:marRight w:val="0"/>
      <w:marTop w:val="0"/>
      <w:marBottom w:val="0"/>
      <w:divBdr>
        <w:top w:val="none" w:sz="0" w:space="0" w:color="auto"/>
        <w:left w:val="none" w:sz="0" w:space="0" w:color="auto"/>
        <w:bottom w:val="none" w:sz="0" w:space="0" w:color="auto"/>
        <w:right w:val="none" w:sz="0" w:space="0" w:color="auto"/>
      </w:divBdr>
    </w:div>
    <w:div w:id="162016850">
      <w:bodyDiv w:val="1"/>
      <w:marLeft w:val="0"/>
      <w:marRight w:val="0"/>
      <w:marTop w:val="0"/>
      <w:marBottom w:val="0"/>
      <w:divBdr>
        <w:top w:val="none" w:sz="0" w:space="0" w:color="auto"/>
        <w:left w:val="none" w:sz="0" w:space="0" w:color="auto"/>
        <w:bottom w:val="none" w:sz="0" w:space="0" w:color="auto"/>
        <w:right w:val="none" w:sz="0" w:space="0" w:color="auto"/>
      </w:divBdr>
    </w:div>
    <w:div w:id="164134505">
      <w:bodyDiv w:val="1"/>
      <w:marLeft w:val="0"/>
      <w:marRight w:val="0"/>
      <w:marTop w:val="0"/>
      <w:marBottom w:val="0"/>
      <w:divBdr>
        <w:top w:val="none" w:sz="0" w:space="0" w:color="auto"/>
        <w:left w:val="none" w:sz="0" w:space="0" w:color="auto"/>
        <w:bottom w:val="none" w:sz="0" w:space="0" w:color="auto"/>
        <w:right w:val="none" w:sz="0" w:space="0" w:color="auto"/>
      </w:divBdr>
    </w:div>
    <w:div w:id="182867114">
      <w:bodyDiv w:val="1"/>
      <w:marLeft w:val="0"/>
      <w:marRight w:val="0"/>
      <w:marTop w:val="0"/>
      <w:marBottom w:val="0"/>
      <w:divBdr>
        <w:top w:val="none" w:sz="0" w:space="0" w:color="auto"/>
        <w:left w:val="none" w:sz="0" w:space="0" w:color="auto"/>
        <w:bottom w:val="none" w:sz="0" w:space="0" w:color="auto"/>
        <w:right w:val="none" w:sz="0" w:space="0" w:color="auto"/>
      </w:divBdr>
    </w:div>
    <w:div w:id="221912307">
      <w:bodyDiv w:val="1"/>
      <w:marLeft w:val="0"/>
      <w:marRight w:val="0"/>
      <w:marTop w:val="0"/>
      <w:marBottom w:val="0"/>
      <w:divBdr>
        <w:top w:val="none" w:sz="0" w:space="0" w:color="auto"/>
        <w:left w:val="none" w:sz="0" w:space="0" w:color="auto"/>
        <w:bottom w:val="none" w:sz="0" w:space="0" w:color="auto"/>
        <w:right w:val="none" w:sz="0" w:space="0" w:color="auto"/>
      </w:divBdr>
      <w:divsChild>
        <w:div w:id="9572563">
          <w:marLeft w:val="0"/>
          <w:marRight w:val="0"/>
          <w:marTop w:val="0"/>
          <w:marBottom w:val="0"/>
          <w:divBdr>
            <w:top w:val="none" w:sz="0" w:space="0" w:color="auto"/>
            <w:left w:val="none" w:sz="0" w:space="0" w:color="auto"/>
            <w:bottom w:val="none" w:sz="0" w:space="0" w:color="auto"/>
            <w:right w:val="none" w:sz="0" w:space="0" w:color="auto"/>
          </w:divBdr>
          <w:divsChild>
            <w:div w:id="112318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350998">
      <w:bodyDiv w:val="1"/>
      <w:marLeft w:val="0"/>
      <w:marRight w:val="0"/>
      <w:marTop w:val="0"/>
      <w:marBottom w:val="0"/>
      <w:divBdr>
        <w:top w:val="none" w:sz="0" w:space="0" w:color="auto"/>
        <w:left w:val="none" w:sz="0" w:space="0" w:color="auto"/>
        <w:bottom w:val="none" w:sz="0" w:space="0" w:color="auto"/>
        <w:right w:val="none" w:sz="0" w:space="0" w:color="auto"/>
      </w:divBdr>
    </w:div>
    <w:div w:id="257103324">
      <w:bodyDiv w:val="1"/>
      <w:marLeft w:val="0"/>
      <w:marRight w:val="0"/>
      <w:marTop w:val="0"/>
      <w:marBottom w:val="0"/>
      <w:divBdr>
        <w:top w:val="none" w:sz="0" w:space="0" w:color="auto"/>
        <w:left w:val="none" w:sz="0" w:space="0" w:color="auto"/>
        <w:bottom w:val="none" w:sz="0" w:space="0" w:color="auto"/>
        <w:right w:val="none" w:sz="0" w:space="0" w:color="auto"/>
      </w:divBdr>
    </w:div>
    <w:div w:id="316612043">
      <w:bodyDiv w:val="1"/>
      <w:marLeft w:val="0"/>
      <w:marRight w:val="0"/>
      <w:marTop w:val="0"/>
      <w:marBottom w:val="0"/>
      <w:divBdr>
        <w:top w:val="none" w:sz="0" w:space="0" w:color="auto"/>
        <w:left w:val="none" w:sz="0" w:space="0" w:color="auto"/>
        <w:bottom w:val="none" w:sz="0" w:space="0" w:color="auto"/>
        <w:right w:val="none" w:sz="0" w:space="0" w:color="auto"/>
      </w:divBdr>
    </w:div>
    <w:div w:id="317268154">
      <w:bodyDiv w:val="1"/>
      <w:marLeft w:val="0"/>
      <w:marRight w:val="0"/>
      <w:marTop w:val="0"/>
      <w:marBottom w:val="0"/>
      <w:divBdr>
        <w:top w:val="none" w:sz="0" w:space="0" w:color="auto"/>
        <w:left w:val="none" w:sz="0" w:space="0" w:color="auto"/>
        <w:bottom w:val="none" w:sz="0" w:space="0" w:color="auto"/>
        <w:right w:val="none" w:sz="0" w:space="0" w:color="auto"/>
      </w:divBdr>
      <w:divsChild>
        <w:div w:id="275672073">
          <w:marLeft w:val="0"/>
          <w:marRight w:val="0"/>
          <w:marTop w:val="525"/>
          <w:marBottom w:val="525"/>
          <w:divBdr>
            <w:top w:val="none" w:sz="0" w:space="0" w:color="auto"/>
            <w:left w:val="none" w:sz="0" w:space="0" w:color="auto"/>
            <w:bottom w:val="none" w:sz="0" w:space="0" w:color="auto"/>
            <w:right w:val="none" w:sz="0" w:space="0" w:color="auto"/>
          </w:divBdr>
          <w:divsChild>
            <w:div w:id="1371690294">
              <w:marLeft w:val="0"/>
              <w:marRight w:val="0"/>
              <w:marTop w:val="0"/>
              <w:marBottom w:val="150"/>
              <w:divBdr>
                <w:top w:val="none" w:sz="0" w:space="0" w:color="auto"/>
                <w:left w:val="none" w:sz="0" w:space="0" w:color="auto"/>
                <w:bottom w:val="none" w:sz="0" w:space="0" w:color="auto"/>
                <w:right w:val="none" w:sz="0" w:space="0" w:color="auto"/>
              </w:divBdr>
            </w:div>
          </w:divsChild>
        </w:div>
        <w:div w:id="2025327299">
          <w:marLeft w:val="0"/>
          <w:marRight w:val="0"/>
          <w:marTop w:val="525"/>
          <w:marBottom w:val="525"/>
          <w:divBdr>
            <w:top w:val="none" w:sz="0" w:space="0" w:color="auto"/>
            <w:left w:val="none" w:sz="0" w:space="0" w:color="auto"/>
            <w:bottom w:val="none" w:sz="0" w:space="0" w:color="auto"/>
            <w:right w:val="none" w:sz="0" w:space="0" w:color="auto"/>
          </w:divBdr>
          <w:divsChild>
            <w:div w:id="1222712859">
              <w:marLeft w:val="0"/>
              <w:marRight w:val="0"/>
              <w:marTop w:val="0"/>
              <w:marBottom w:val="150"/>
              <w:divBdr>
                <w:top w:val="none" w:sz="0" w:space="0" w:color="auto"/>
                <w:left w:val="none" w:sz="0" w:space="0" w:color="auto"/>
                <w:bottom w:val="none" w:sz="0" w:space="0" w:color="auto"/>
                <w:right w:val="none" w:sz="0" w:space="0" w:color="auto"/>
              </w:divBdr>
            </w:div>
          </w:divsChild>
        </w:div>
        <w:div w:id="1573272607">
          <w:marLeft w:val="0"/>
          <w:marRight w:val="0"/>
          <w:marTop w:val="525"/>
          <w:marBottom w:val="525"/>
          <w:divBdr>
            <w:top w:val="none" w:sz="0" w:space="0" w:color="auto"/>
            <w:left w:val="none" w:sz="0" w:space="0" w:color="auto"/>
            <w:bottom w:val="none" w:sz="0" w:space="0" w:color="auto"/>
            <w:right w:val="none" w:sz="0" w:space="0" w:color="auto"/>
          </w:divBdr>
        </w:div>
      </w:divsChild>
    </w:div>
    <w:div w:id="350231012">
      <w:bodyDiv w:val="1"/>
      <w:marLeft w:val="0"/>
      <w:marRight w:val="0"/>
      <w:marTop w:val="0"/>
      <w:marBottom w:val="0"/>
      <w:divBdr>
        <w:top w:val="none" w:sz="0" w:space="0" w:color="auto"/>
        <w:left w:val="none" w:sz="0" w:space="0" w:color="auto"/>
        <w:bottom w:val="none" w:sz="0" w:space="0" w:color="auto"/>
        <w:right w:val="none" w:sz="0" w:space="0" w:color="auto"/>
      </w:divBdr>
      <w:divsChild>
        <w:div w:id="385880156">
          <w:marLeft w:val="0"/>
          <w:marRight w:val="0"/>
          <w:marTop w:val="0"/>
          <w:marBottom w:val="0"/>
          <w:divBdr>
            <w:top w:val="none" w:sz="0" w:space="0" w:color="auto"/>
            <w:left w:val="none" w:sz="0" w:space="0" w:color="auto"/>
            <w:bottom w:val="none" w:sz="0" w:space="0" w:color="auto"/>
            <w:right w:val="none" w:sz="0" w:space="0" w:color="auto"/>
          </w:divBdr>
          <w:divsChild>
            <w:div w:id="1890604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615886">
      <w:bodyDiv w:val="1"/>
      <w:marLeft w:val="0"/>
      <w:marRight w:val="0"/>
      <w:marTop w:val="0"/>
      <w:marBottom w:val="0"/>
      <w:divBdr>
        <w:top w:val="none" w:sz="0" w:space="0" w:color="auto"/>
        <w:left w:val="none" w:sz="0" w:space="0" w:color="auto"/>
        <w:bottom w:val="none" w:sz="0" w:space="0" w:color="auto"/>
        <w:right w:val="none" w:sz="0" w:space="0" w:color="auto"/>
      </w:divBdr>
    </w:div>
    <w:div w:id="386733120">
      <w:bodyDiv w:val="1"/>
      <w:marLeft w:val="0"/>
      <w:marRight w:val="0"/>
      <w:marTop w:val="0"/>
      <w:marBottom w:val="0"/>
      <w:divBdr>
        <w:top w:val="none" w:sz="0" w:space="0" w:color="auto"/>
        <w:left w:val="none" w:sz="0" w:space="0" w:color="auto"/>
        <w:bottom w:val="none" w:sz="0" w:space="0" w:color="auto"/>
        <w:right w:val="none" w:sz="0" w:space="0" w:color="auto"/>
      </w:divBdr>
    </w:div>
    <w:div w:id="397561114">
      <w:bodyDiv w:val="1"/>
      <w:marLeft w:val="0"/>
      <w:marRight w:val="0"/>
      <w:marTop w:val="0"/>
      <w:marBottom w:val="0"/>
      <w:divBdr>
        <w:top w:val="none" w:sz="0" w:space="0" w:color="auto"/>
        <w:left w:val="none" w:sz="0" w:space="0" w:color="auto"/>
        <w:bottom w:val="none" w:sz="0" w:space="0" w:color="auto"/>
        <w:right w:val="none" w:sz="0" w:space="0" w:color="auto"/>
      </w:divBdr>
    </w:div>
    <w:div w:id="399249990">
      <w:bodyDiv w:val="1"/>
      <w:marLeft w:val="0"/>
      <w:marRight w:val="0"/>
      <w:marTop w:val="0"/>
      <w:marBottom w:val="0"/>
      <w:divBdr>
        <w:top w:val="none" w:sz="0" w:space="0" w:color="auto"/>
        <w:left w:val="none" w:sz="0" w:space="0" w:color="auto"/>
        <w:bottom w:val="none" w:sz="0" w:space="0" w:color="auto"/>
        <w:right w:val="none" w:sz="0" w:space="0" w:color="auto"/>
      </w:divBdr>
    </w:div>
    <w:div w:id="425199372">
      <w:bodyDiv w:val="1"/>
      <w:marLeft w:val="0"/>
      <w:marRight w:val="0"/>
      <w:marTop w:val="0"/>
      <w:marBottom w:val="0"/>
      <w:divBdr>
        <w:top w:val="none" w:sz="0" w:space="0" w:color="auto"/>
        <w:left w:val="none" w:sz="0" w:space="0" w:color="auto"/>
        <w:bottom w:val="none" w:sz="0" w:space="0" w:color="auto"/>
        <w:right w:val="none" w:sz="0" w:space="0" w:color="auto"/>
      </w:divBdr>
    </w:div>
    <w:div w:id="428352424">
      <w:bodyDiv w:val="1"/>
      <w:marLeft w:val="0"/>
      <w:marRight w:val="0"/>
      <w:marTop w:val="0"/>
      <w:marBottom w:val="0"/>
      <w:divBdr>
        <w:top w:val="none" w:sz="0" w:space="0" w:color="auto"/>
        <w:left w:val="none" w:sz="0" w:space="0" w:color="auto"/>
        <w:bottom w:val="none" w:sz="0" w:space="0" w:color="auto"/>
        <w:right w:val="none" w:sz="0" w:space="0" w:color="auto"/>
      </w:divBdr>
    </w:div>
    <w:div w:id="433670647">
      <w:bodyDiv w:val="1"/>
      <w:marLeft w:val="0"/>
      <w:marRight w:val="0"/>
      <w:marTop w:val="0"/>
      <w:marBottom w:val="0"/>
      <w:divBdr>
        <w:top w:val="none" w:sz="0" w:space="0" w:color="auto"/>
        <w:left w:val="none" w:sz="0" w:space="0" w:color="auto"/>
        <w:bottom w:val="none" w:sz="0" w:space="0" w:color="auto"/>
        <w:right w:val="none" w:sz="0" w:space="0" w:color="auto"/>
      </w:divBdr>
    </w:div>
    <w:div w:id="503668553">
      <w:bodyDiv w:val="1"/>
      <w:marLeft w:val="0"/>
      <w:marRight w:val="0"/>
      <w:marTop w:val="0"/>
      <w:marBottom w:val="0"/>
      <w:divBdr>
        <w:top w:val="none" w:sz="0" w:space="0" w:color="auto"/>
        <w:left w:val="none" w:sz="0" w:space="0" w:color="auto"/>
        <w:bottom w:val="none" w:sz="0" w:space="0" w:color="auto"/>
        <w:right w:val="none" w:sz="0" w:space="0" w:color="auto"/>
      </w:divBdr>
    </w:div>
    <w:div w:id="516892402">
      <w:bodyDiv w:val="1"/>
      <w:marLeft w:val="0"/>
      <w:marRight w:val="0"/>
      <w:marTop w:val="0"/>
      <w:marBottom w:val="0"/>
      <w:divBdr>
        <w:top w:val="none" w:sz="0" w:space="0" w:color="auto"/>
        <w:left w:val="none" w:sz="0" w:space="0" w:color="auto"/>
        <w:bottom w:val="none" w:sz="0" w:space="0" w:color="auto"/>
        <w:right w:val="none" w:sz="0" w:space="0" w:color="auto"/>
      </w:divBdr>
    </w:div>
    <w:div w:id="550926698">
      <w:bodyDiv w:val="1"/>
      <w:marLeft w:val="0"/>
      <w:marRight w:val="0"/>
      <w:marTop w:val="0"/>
      <w:marBottom w:val="0"/>
      <w:divBdr>
        <w:top w:val="none" w:sz="0" w:space="0" w:color="auto"/>
        <w:left w:val="none" w:sz="0" w:space="0" w:color="auto"/>
        <w:bottom w:val="none" w:sz="0" w:space="0" w:color="auto"/>
        <w:right w:val="none" w:sz="0" w:space="0" w:color="auto"/>
      </w:divBdr>
    </w:div>
    <w:div w:id="558446137">
      <w:bodyDiv w:val="1"/>
      <w:marLeft w:val="0"/>
      <w:marRight w:val="0"/>
      <w:marTop w:val="0"/>
      <w:marBottom w:val="0"/>
      <w:divBdr>
        <w:top w:val="none" w:sz="0" w:space="0" w:color="auto"/>
        <w:left w:val="none" w:sz="0" w:space="0" w:color="auto"/>
        <w:bottom w:val="none" w:sz="0" w:space="0" w:color="auto"/>
        <w:right w:val="none" w:sz="0" w:space="0" w:color="auto"/>
      </w:divBdr>
    </w:div>
    <w:div w:id="571696646">
      <w:bodyDiv w:val="1"/>
      <w:marLeft w:val="0"/>
      <w:marRight w:val="0"/>
      <w:marTop w:val="0"/>
      <w:marBottom w:val="0"/>
      <w:divBdr>
        <w:top w:val="none" w:sz="0" w:space="0" w:color="auto"/>
        <w:left w:val="none" w:sz="0" w:space="0" w:color="auto"/>
        <w:bottom w:val="none" w:sz="0" w:space="0" w:color="auto"/>
        <w:right w:val="none" w:sz="0" w:space="0" w:color="auto"/>
      </w:divBdr>
    </w:div>
    <w:div w:id="577443154">
      <w:bodyDiv w:val="1"/>
      <w:marLeft w:val="0"/>
      <w:marRight w:val="0"/>
      <w:marTop w:val="0"/>
      <w:marBottom w:val="0"/>
      <w:divBdr>
        <w:top w:val="none" w:sz="0" w:space="0" w:color="auto"/>
        <w:left w:val="none" w:sz="0" w:space="0" w:color="auto"/>
        <w:bottom w:val="none" w:sz="0" w:space="0" w:color="auto"/>
        <w:right w:val="none" w:sz="0" w:space="0" w:color="auto"/>
      </w:divBdr>
    </w:div>
    <w:div w:id="615718325">
      <w:bodyDiv w:val="1"/>
      <w:marLeft w:val="0"/>
      <w:marRight w:val="0"/>
      <w:marTop w:val="0"/>
      <w:marBottom w:val="0"/>
      <w:divBdr>
        <w:top w:val="none" w:sz="0" w:space="0" w:color="auto"/>
        <w:left w:val="none" w:sz="0" w:space="0" w:color="auto"/>
        <w:bottom w:val="none" w:sz="0" w:space="0" w:color="auto"/>
        <w:right w:val="none" w:sz="0" w:space="0" w:color="auto"/>
      </w:divBdr>
    </w:div>
    <w:div w:id="703794949">
      <w:bodyDiv w:val="1"/>
      <w:marLeft w:val="0"/>
      <w:marRight w:val="0"/>
      <w:marTop w:val="0"/>
      <w:marBottom w:val="0"/>
      <w:divBdr>
        <w:top w:val="none" w:sz="0" w:space="0" w:color="auto"/>
        <w:left w:val="none" w:sz="0" w:space="0" w:color="auto"/>
        <w:bottom w:val="none" w:sz="0" w:space="0" w:color="auto"/>
        <w:right w:val="none" w:sz="0" w:space="0" w:color="auto"/>
      </w:divBdr>
    </w:div>
    <w:div w:id="722606035">
      <w:bodyDiv w:val="1"/>
      <w:marLeft w:val="0"/>
      <w:marRight w:val="0"/>
      <w:marTop w:val="0"/>
      <w:marBottom w:val="0"/>
      <w:divBdr>
        <w:top w:val="none" w:sz="0" w:space="0" w:color="auto"/>
        <w:left w:val="none" w:sz="0" w:space="0" w:color="auto"/>
        <w:bottom w:val="none" w:sz="0" w:space="0" w:color="auto"/>
        <w:right w:val="none" w:sz="0" w:space="0" w:color="auto"/>
      </w:divBdr>
    </w:div>
    <w:div w:id="740374689">
      <w:bodyDiv w:val="1"/>
      <w:marLeft w:val="0"/>
      <w:marRight w:val="0"/>
      <w:marTop w:val="0"/>
      <w:marBottom w:val="0"/>
      <w:divBdr>
        <w:top w:val="none" w:sz="0" w:space="0" w:color="auto"/>
        <w:left w:val="none" w:sz="0" w:space="0" w:color="auto"/>
        <w:bottom w:val="none" w:sz="0" w:space="0" w:color="auto"/>
        <w:right w:val="none" w:sz="0" w:space="0" w:color="auto"/>
      </w:divBdr>
      <w:divsChild>
        <w:div w:id="347758739">
          <w:marLeft w:val="0"/>
          <w:marRight w:val="0"/>
          <w:marTop w:val="525"/>
          <w:marBottom w:val="525"/>
          <w:divBdr>
            <w:top w:val="none" w:sz="0" w:space="0" w:color="auto"/>
            <w:left w:val="none" w:sz="0" w:space="0" w:color="auto"/>
            <w:bottom w:val="none" w:sz="0" w:space="0" w:color="auto"/>
            <w:right w:val="none" w:sz="0" w:space="0" w:color="auto"/>
          </w:divBdr>
          <w:divsChild>
            <w:div w:id="1431076390">
              <w:marLeft w:val="0"/>
              <w:marRight w:val="0"/>
              <w:marTop w:val="0"/>
              <w:marBottom w:val="150"/>
              <w:divBdr>
                <w:top w:val="none" w:sz="0" w:space="0" w:color="auto"/>
                <w:left w:val="none" w:sz="0" w:space="0" w:color="auto"/>
                <w:bottom w:val="none" w:sz="0" w:space="0" w:color="auto"/>
                <w:right w:val="none" w:sz="0" w:space="0" w:color="auto"/>
              </w:divBdr>
            </w:div>
          </w:divsChild>
        </w:div>
        <w:div w:id="44068458">
          <w:marLeft w:val="0"/>
          <w:marRight w:val="0"/>
          <w:marTop w:val="525"/>
          <w:marBottom w:val="525"/>
          <w:divBdr>
            <w:top w:val="none" w:sz="0" w:space="0" w:color="auto"/>
            <w:left w:val="none" w:sz="0" w:space="0" w:color="auto"/>
            <w:bottom w:val="none" w:sz="0" w:space="0" w:color="auto"/>
            <w:right w:val="none" w:sz="0" w:space="0" w:color="auto"/>
          </w:divBdr>
          <w:divsChild>
            <w:div w:id="945044190">
              <w:marLeft w:val="0"/>
              <w:marRight w:val="0"/>
              <w:marTop w:val="0"/>
              <w:marBottom w:val="150"/>
              <w:divBdr>
                <w:top w:val="none" w:sz="0" w:space="0" w:color="auto"/>
                <w:left w:val="none" w:sz="0" w:space="0" w:color="auto"/>
                <w:bottom w:val="none" w:sz="0" w:space="0" w:color="auto"/>
                <w:right w:val="none" w:sz="0" w:space="0" w:color="auto"/>
              </w:divBdr>
            </w:div>
          </w:divsChild>
        </w:div>
        <w:div w:id="334846580">
          <w:marLeft w:val="0"/>
          <w:marRight w:val="0"/>
          <w:marTop w:val="525"/>
          <w:marBottom w:val="525"/>
          <w:divBdr>
            <w:top w:val="none" w:sz="0" w:space="0" w:color="auto"/>
            <w:left w:val="none" w:sz="0" w:space="0" w:color="auto"/>
            <w:bottom w:val="none" w:sz="0" w:space="0" w:color="auto"/>
            <w:right w:val="none" w:sz="0" w:space="0" w:color="auto"/>
          </w:divBdr>
        </w:div>
      </w:divsChild>
    </w:div>
    <w:div w:id="749472513">
      <w:bodyDiv w:val="1"/>
      <w:marLeft w:val="0"/>
      <w:marRight w:val="0"/>
      <w:marTop w:val="0"/>
      <w:marBottom w:val="0"/>
      <w:divBdr>
        <w:top w:val="none" w:sz="0" w:space="0" w:color="auto"/>
        <w:left w:val="none" w:sz="0" w:space="0" w:color="auto"/>
        <w:bottom w:val="none" w:sz="0" w:space="0" w:color="auto"/>
        <w:right w:val="none" w:sz="0" w:space="0" w:color="auto"/>
      </w:divBdr>
    </w:div>
    <w:div w:id="772893759">
      <w:bodyDiv w:val="1"/>
      <w:marLeft w:val="0"/>
      <w:marRight w:val="0"/>
      <w:marTop w:val="0"/>
      <w:marBottom w:val="0"/>
      <w:divBdr>
        <w:top w:val="none" w:sz="0" w:space="0" w:color="auto"/>
        <w:left w:val="none" w:sz="0" w:space="0" w:color="auto"/>
        <w:bottom w:val="none" w:sz="0" w:space="0" w:color="auto"/>
        <w:right w:val="none" w:sz="0" w:space="0" w:color="auto"/>
      </w:divBdr>
      <w:divsChild>
        <w:div w:id="743915182">
          <w:marLeft w:val="446"/>
          <w:marRight w:val="0"/>
          <w:marTop w:val="0"/>
          <w:marBottom w:val="0"/>
          <w:divBdr>
            <w:top w:val="none" w:sz="0" w:space="0" w:color="auto"/>
            <w:left w:val="none" w:sz="0" w:space="0" w:color="auto"/>
            <w:bottom w:val="none" w:sz="0" w:space="0" w:color="auto"/>
            <w:right w:val="none" w:sz="0" w:space="0" w:color="auto"/>
          </w:divBdr>
        </w:div>
      </w:divsChild>
    </w:div>
    <w:div w:id="830100317">
      <w:bodyDiv w:val="1"/>
      <w:marLeft w:val="0"/>
      <w:marRight w:val="0"/>
      <w:marTop w:val="0"/>
      <w:marBottom w:val="0"/>
      <w:divBdr>
        <w:top w:val="none" w:sz="0" w:space="0" w:color="auto"/>
        <w:left w:val="none" w:sz="0" w:space="0" w:color="auto"/>
        <w:bottom w:val="none" w:sz="0" w:space="0" w:color="auto"/>
        <w:right w:val="none" w:sz="0" w:space="0" w:color="auto"/>
      </w:divBdr>
    </w:div>
    <w:div w:id="869416306">
      <w:bodyDiv w:val="1"/>
      <w:marLeft w:val="0"/>
      <w:marRight w:val="0"/>
      <w:marTop w:val="0"/>
      <w:marBottom w:val="0"/>
      <w:divBdr>
        <w:top w:val="none" w:sz="0" w:space="0" w:color="auto"/>
        <w:left w:val="none" w:sz="0" w:space="0" w:color="auto"/>
        <w:bottom w:val="none" w:sz="0" w:space="0" w:color="auto"/>
        <w:right w:val="none" w:sz="0" w:space="0" w:color="auto"/>
      </w:divBdr>
    </w:div>
    <w:div w:id="895746380">
      <w:bodyDiv w:val="1"/>
      <w:marLeft w:val="0"/>
      <w:marRight w:val="0"/>
      <w:marTop w:val="0"/>
      <w:marBottom w:val="0"/>
      <w:divBdr>
        <w:top w:val="none" w:sz="0" w:space="0" w:color="auto"/>
        <w:left w:val="none" w:sz="0" w:space="0" w:color="auto"/>
        <w:bottom w:val="none" w:sz="0" w:space="0" w:color="auto"/>
        <w:right w:val="none" w:sz="0" w:space="0" w:color="auto"/>
      </w:divBdr>
    </w:div>
    <w:div w:id="933636169">
      <w:bodyDiv w:val="1"/>
      <w:marLeft w:val="0"/>
      <w:marRight w:val="0"/>
      <w:marTop w:val="0"/>
      <w:marBottom w:val="0"/>
      <w:divBdr>
        <w:top w:val="none" w:sz="0" w:space="0" w:color="auto"/>
        <w:left w:val="none" w:sz="0" w:space="0" w:color="auto"/>
        <w:bottom w:val="none" w:sz="0" w:space="0" w:color="auto"/>
        <w:right w:val="none" w:sz="0" w:space="0" w:color="auto"/>
      </w:divBdr>
    </w:div>
    <w:div w:id="1031145342">
      <w:bodyDiv w:val="1"/>
      <w:marLeft w:val="0"/>
      <w:marRight w:val="0"/>
      <w:marTop w:val="0"/>
      <w:marBottom w:val="0"/>
      <w:divBdr>
        <w:top w:val="none" w:sz="0" w:space="0" w:color="auto"/>
        <w:left w:val="none" w:sz="0" w:space="0" w:color="auto"/>
        <w:bottom w:val="none" w:sz="0" w:space="0" w:color="auto"/>
        <w:right w:val="none" w:sz="0" w:space="0" w:color="auto"/>
      </w:divBdr>
    </w:div>
    <w:div w:id="1035619748">
      <w:bodyDiv w:val="1"/>
      <w:marLeft w:val="0"/>
      <w:marRight w:val="0"/>
      <w:marTop w:val="0"/>
      <w:marBottom w:val="0"/>
      <w:divBdr>
        <w:top w:val="none" w:sz="0" w:space="0" w:color="auto"/>
        <w:left w:val="none" w:sz="0" w:space="0" w:color="auto"/>
        <w:bottom w:val="none" w:sz="0" w:space="0" w:color="auto"/>
        <w:right w:val="none" w:sz="0" w:space="0" w:color="auto"/>
      </w:divBdr>
    </w:div>
    <w:div w:id="1074397788">
      <w:bodyDiv w:val="1"/>
      <w:marLeft w:val="0"/>
      <w:marRight w:val="0"/>
      <w:marTop w:val="0"/>
      <w:marBottom w:val="0"/>
      <w:divBdr>
        <w:top w:val="none" w:sz="0" w:space="0" w:color="auto"/>
        <w:left w:val="none" w:sz="0" w:space="0" w:color="auto"/>
        <w:bottom w:val="none" w:sz="0" w:space="0" w:color="auto"/>
        <w:right w:val="none" w:sz="0" w:space="0" w:color="auto"/>
      </w:divBdr>
    </w:div>
    <w:div w:id="1131706629">
      <w:bodyDiv w:val="1"/>
      <w:marLeft w:val="0"/>
      <w:marRight w:val="0"/>
      <w:marTop w:val="0"/>
      <w:marBottom w:val="0"/>
      <w:divBdr>
        <w:top w:val="none" w:sz="0" w:space="0" w:color="auto"/>
        <w:left w:val="none" w:sz="0" w:space="0" w:color="auto"/>
        <w:bottom w:val="none" w:sz="0" w:space="0" w:color="auto"/>
        <w:right w:val="none" w:sz="0" w:space="0" w:color="auto"/>
      </w:divBdr>
    </w:div>
    <w:div w:id="1174151940">
      <w:bodyDiv w:val="1"/>
      <w:marLeft w:val="0"/>
      <w:marRight w:val="0"/>
      <w:marTop w:val="0"/>
      <w:marBottom w:val="0"/>
      <w:divBdr>
        <w:top w:val="none" w:sz="0" w:space="0" w:color="auto"/>
        <w:left w:val="none" w:sz="0" w:space="0" w:color="auto"/>
        <w:bottom w:val="none" w:sz="0" w:space="0" w:color="auto"/>
        <w:right w:val="none" w:sz="0" w:space="0" w:color="auto"/>
      </w:divBdr>
    </w:div>
    <w:div w:id="1190946338">
      <w:bodyDiv w:val="1"/>
      <w:marLeft w:val="0"/>
      <w:marRight w:val="0"/>
      <w:marTop w:val="0"/>
      <w:marBottom w:val="0"/>
      <w:divBdr>
        <w:top w:val="none" w:sz="0" w:space="0" w:color="auto"/>
        <w:left w:val="none" w:sz="0" w:space="0" w:color="auto"/>
        <w:bottom w:val="none" w:sz="0" w:space="0" w:color="auto"/>
        <w:right w:val="none" w:sz="0" w:space="0" w:color="auto"/>
      </w:divBdr>
    </w:div>
    <w:div w:id="1200318923">
      <w:bodyDiv w:val="1"/>
      <w:marLeft w:val="0"/>
      <w:marRight w:val="0"/>
      <w:marTop w:val="0"/>
      <w:marBottom w:val="0"/>
      <w:divBdr>
        <w:top w:val="none" w:sz="0" w:space="0" w:color="auto"/>
        <w:left w:val="none" w:sz="0" w:space="0" w:color="auto"/>
        <w:bottom w:val="none" w:sz="0" w:space="0" w:color="auto"/>
        <w:right w:val="none" w:sz="0" w:space="0" w:color="auto"/>
      </w:divBdr>
    </w:div>
    <w:div w:id="1251037469">
      <w:bodyDiv w:val="1"/>
      <w:marLeft w:val="0"/>
      <w:marRight w:val="0"/>
      <w:marTop w:val="0"/>
      <w:marBottom w:val="0"/>
      <w:divBdr>
        <w:top w:val="none" w:sz="0" w:space="0" w:color="auto"/>
        <w:left w:val="none" w:sz="0" w:space="0" w:color="auto"/>
        <w:bottom w:val="none" w:sz="0" w:space="0" w:color="auto"/>
        <w:right w:val="none" w:sz="0" w:space="0" w:color="auto"/>
      </w:divBdr>
    </w:div>
    <w:div w:id="1275550643">
      <w:bodyDiv w:val="1"/>
      <w:marLeft w:val="0"/>
      <w:marRight w:val="0"/>
      <w:marTop w:val="0"/>
      <w:marBottom w:val="0"/>
      <w:divBdr>
        <w:top w:val="none" w:sz="0" w:space="0" w:color="auto"/>
        <w:left w:val="none" w:sz="0" w:space="0" w:color="auto"/>
        <w:bottom w:val="none" w:sz="0" w:space="0" w:color="auto"/>
        <w:right w:val="none" w:sz="0" w:space="0" w:color="auto"/>
      </w:divBdr>
    </w:div>
    <w:div w:id="1285848659">
      <w:bodyDiv w:val="1"/>
      <w:marLeft w:val="0"/>
      <w:marRight w:val="0"/>
      <w:marTop w:val="0"/>
      <w:marBottom w:val="0"/>
      <w:divBdr>
        <w:top w:val="none" w:sz="0" w:space="0" w:color="auto"/>
        <w:left w:val="none" w:sz="0" w:space="0" w:color="auto"/>
        <w:bottom w:val="none" w:sz="0" w:space="0" w:color="auto"/>
        <w:right w:val="none" w:sz="0" w:space="0" w:color="auto"/>
      </w:divBdr>
    </w:div>
    <w:div w:id="1346785807">
      <w:bodyDiv w:val="1"/>
      <w:marLeft w:val="0"/>
      <w:marRight w:val="0"/>
      <w:marTop w:val="0"/>
      <w:marBottom w:val="0"/>
      <w:divBdr>
        <w:top w:val="none" w:sz="0" w:space="0" w:color="auto"/>
        <w:left w:val="none" w:sz="0" w:space="0" w:color="auto"/>
        <w:bottom w:val="none" w:sz="0" w:space="0" w:color="auto"/>
        <w:right w:val="none" w:sz="0" w:space="0" w:color="auto"/>
      </w:divBdr>
    </w:div>
    <w:div w:id="1395817519">
      <w:bodyDiv w:val="1"/>
      <w:marLeft w:val="0"/>
      <w:marRight w:val="0"/>
      <w:marTop w:val="0"/>
      <w:marBottom w:val="0"/>
      <w:divBdr>
        <w:top w:val="none" w:sz="0" w:space="0" w:color="auto"/>
        <w:left w:val="none" w:sz="0" w:space="0" w:color="auto"/>
        <w:bottom w:val="none" w:sz="0" w:space="0" w:color="auto"/>
        <w:right w:val="none" w:sz="0" w:space="0" w:color="auto"/>
      </w:divBdr>
    </w:div>
    <w:div w:id="1431663426">
      <w:bodyDiv w:val="1"/>
      <w:marLeft w:val="0"/>
      <w:marRight w:val="0"/>
      <w:marTop w:val="0"/>
      <w:marBottom w:val="0"/>
      <w:divBdr>
        <w:top w:val="none" w:sz="0" w:space="0" w:color="auto"/>
        <w:left w:val="none" w:sz="0" w:space="0" w:color="auto"/>
        <w:bottom w:val="none" w:sz="0" w:space="0" w:color="auto"/>
        <w:right w:val="none" w:sz="0" w:space="0" w:color="auto"/>
      </w:divBdr>
    </w:div>
    <w:div w:id="1471089748">
      <w:bodyDiv w:val="1"/>
      <w:marLeft w:val="0"/>
      <w:marRight w:val="0"/>
      <w:marTop w:val="0"/>
      <w:marBottom w:val="0"/>
      <w:divBdr>
        <w:top w:val="none" w:sz="0" w:space="0" w:color="auto"/>
        <w:left w:val="none" w:sz="0" w:space="0" w:color="auto"/>
        <w:bottom w:val="none" w:sz="0" w:space="0" w:color="auto"/>
        <w:right w:val="none" w:sz="0" w:space="0" w:color="auto"/>
      </w:divBdr>
    </w:div>
    <w:div w:id="1530949718">
      <w:bodyDiv w:val="1"/>
      <w:marLeft w:val="0"/>
      <w:marRight w:val="0"/>
      <w:marTop w:val="0"/>
      <w:marBottom w:val="0"/>
      <w:divBdr>
        <w:top w:val="none" w:sz="0" w:space="0" w:color="auto"/>
        <w:left w:val="none" w:sz="0" w:space="0" w:color="auto"/>
        <w:bottom w:val="none" w:sz="0" w:space="0" w:color="auto"/>
        <w:right w:val="none" w:sz="0" w:space="0" w:color="auto"/>
      </w:divBdr>
    </w:div>
    <w:div w:id="1541211768">
      <w:bodyDiv w:val="1"/>
      <w:marLeft w:val="0"/>
      <w:marRight w:val="0"/>
      <w:marTop w:val="0"/>
      <w:marBottom w:val="0"/>
      <w:divBdr>
        <w:top w:val="none" w:sz="0" w:space="0" w:color="auto"/>
        <w:left w:val="none" w:sz="0" w:space="0" w:color="auto"/>
        <w:bottom w:val="none" w:sz="0" w:space="0" w:color="auto"/>
        <w:right w:val="none" w:sz="0" w:space="0" w:color="auto"/>
      </w:divBdr>
    </w:div>
    <w:div w:id="1541281466">
      <w:bodyDiv w:val="1"/>
      <w:marLeft w:val="0"/>
      <w:marRight w:val="0"/>
      <w:marTop w:val="0"/>
      <w:marBottom w:val="0"/>
      <w:divBdr>
        <w:top w:val="none" w:sz="0" w:space="0" w:color="auto"/>
        <w:left w:val="none" w:sz="0" w:space="0" w:color="auto"/>
        <w:bottom w:val="none" w:sz="0" w:space="0" w:color="auto"/>
        <w:right w:val="none" w:sz="0" w:space="0" w:color="auto"/>
      </w:divBdr>
    </w:div>
    <w:div w:id="1562983551">
      <w:bodyDiv w:val="1"/>
      <w:marLeft w:val="0"/>
      <w:marRight w:val="0"/>
      <w:marTop w:val="0"/>
      <w:marBottom w:val="0"/>
      <w:divBdr>
        <w:top w:val="none" w:sz="0" w:space="0" w:color="auto"/>
        <w:left w:val="none" w:sz="0" w:space="0" w:color="auto"/>
        <w:bottom w:val="none" w:sz="0" w:space="0" w:color="auto"/>
        <w:right w:val="none" w:sz="0" w:space="0" w:color="auto"/>
      </w:divBdr>
    </w:div>
    <w:div w:id="1589073822">
      <w:bodyDiv w:val="1"/>
      <w:marLeft w:val="0"/>
      <w:marRight w:val="0"/>
      <w:marTop w:val="0"/>
      <w:marBottom w:val="0"/>
      <w:divBdr>
        <w:top w:val="none" w:sz="0" w:space="0" w:color="auto"/>
        <w:left w:val="none" w:sz="0" w:space="0" w:color="auto"/>
        <w:bottom w:val="none" w:sz="0" w:space="0" w:color="auto"/>
        <w:right w:val="none" w:sz="0" w:space="0" w:color="auto"/>
      </w:divBdr>
    </w:div>
    <w:div w:id="1592351888">
      <w:bodyDiv w:val="1"/>
      <w:marLeft w:val="0"/>
      <w:marRight w:val="0"/>
      <w:marTop w:val="0"/>
      <w:marBottom w:val="0"/>
      <w:divBdr>
        <w:top w:val="none" w:sz="0" w:space="0" w:color="auto"/>
        <w:left w:val="none" w:sz="0" w:space="0" w:color="auto"/>
        <w:bottom w:val="none" w:sz="0" w:space="0" w:color="auto"/>
        <w:right w:val="none" w:sz="0" w:space="0" w:color="auto"/>
      </w:divBdr>
    </w:div>
    <w:div w:id="1606501658">
      <w:bodyDiv w:val="1"/>
      <w:marLeft w:val="0"/>
      <w:marRight w:val="0"/>
      <w:marTop w:val="0"/>
      <w:marBottom w:val="0"/>
      <w:divBdr>
        <w:top w:val="none" w:sz="0" w:space="0" w:color="auto"/>
        <w:left w:val="none" w:sz="0" w:space="0" w:color="auto"/>
        <w:bottom w:val="none" w:sz="0" w:space="0" w:color="auto"/>
        <w:right w:val="none" w:sz="0" w:space="0" w:color="auto"/>
      </w:divBdr>
    </w:div>
    <w:div w:id="1670325924">
      <w:bodyDiv w:val="1"/>
      <w:marLeft w:val="0"/>
      <w:marRight w:val="0"/>
      <w:marTop w:val="0"/>
      <w:marBottom w:val="0"/>
      <w:divBdr>
        <w:top w:val="none" w:sz="0" w:space="0" w:color="auto"/>
        <w:left w:val="none" w:sz="0" w:space="0" w:color="auto"/>
        <w:bottom w:val="none" w:sz="0" w:space="0" w:color="auto"/>
        <w:right w:val="none" w:sz="0" w:space="0" w:color="auto"/>
      </w:divBdr>
    </w:div>
    <w:div w:id="1707874821">
      <w:bodyDiv w:val="1"/>
      <w:marLeft w:val="0"/>
      <w:marRight w:val="0"/>
      <w:marTop w:val="0"/>
      <w:marBottom w:val="0"/>
      <w:divBdr>
        <w:top w:val="none" w:sz="0" w:space="0" w:color="auto"/>
        <w:left w:val="none" w:sz="0" w:space="0" w:color="auto"/>
        <w:bottom w:val="none" w:sz="0" w:space="0" w:color="auto"/>
        <w:right w:val="none" w:sz="0" w:space="0" w:color="auto"/>
      </w:divBdr>
    </w:div>
    <w:div w:id="1732381013">
      <w:bodyDiv w:val="1"/>
      <w:marLeft w:val="0"/>
      <w:marRight w:val="0"/>
      <w:marTop w:val="0"/>
      <w:marBottom w:val="0"/>
      <w:divBdr>
        <w:top w:val="none" w:sz="0" w:space="0" w:color="auto"/>
        <w:left w:val="none" w:sz="0" w:space="0" w:color="auto"/>
        <w:bottom w:val="none" w:sz="0" w:space="0" w:color="auto"/>
        <w:right w:val="none" w:sz="0" w:space="0" w:color="auto"/>
      </w:divBdr>
    </w:div>
    <w:div w:id="1738238489">
      <w:bodyDiv w:val="1"/>
      <w:marLeft w:val="0"/>
      <w:marRight w:val="0"/>
      <w:marTop w:val="0"/>
      <w:marBottom w:val="0"/>
      <w:divBdr>
        <w:top w:val="none" w:sz="0" w:space="0" w:color="auto"/>
        <w:left w:val="none" w:sz="0" w:space="0" w:color="auto"/>
        <w:bottom w:val="none" w:sz="0" w:space="0" w:color="auto"/>
        <w:right w:val="none" w:sz="0" w:space="0" w:color="auto"/>
      </w:divBdr>
    </w:div>
    <w:div w:id="1792938851">
      <w:bodyDiv w:val="1"/>
      <w:marLeft w:val="0"/>
      <w:marRight w:val="0"/>
      <w:marTop w:val="0"/>
      <w:marBottom w:val="0"/>
      <w:divBdr>
        <w:top w:val="none" w:sz="0" w:space="0" w:color="auto"/>
        <w:left w:val="none" w:sz="0" w:space="0" w:color="auto"/>
        <w:bottom w:val="none" w:sz="0" w:space="0" w:color="auto"/>
        <w:right w:val="none" w:sz="0" w:space="0" w:color="auto"/>
      </w:divBdr>
    </w:div>
    <w:div w:id="1821843394">
      <w:bodyDiv w:val="1"/>
      <w:marLeft w:val="0"/>
      <w:marRight w:val="0"/>
      <w:marTop w:val="0"/>
      <w:marBottom w:val="0"/>
      <w:divBdr>
        <w:top w:val="none" w:sz="0" w:space="0" w:color="auto"/>
        <w:left w:val="none" w:sz="0" w:space="0" w:color="auto"/>
        <w:bottom w:val="none" w:sz="0" w:space="0" w:color="auto"/>
        <w:right w:val="none" w:sz="0" w:space="0" w:color="auto"/>
      </w:divBdr>
    </w:div>
    <w:div w:id="1828206052">
      <w:bodyDiv w:val="1"/>
      <w:marLeft w:val="0"/>
      <w:marRight w:val="0"/>
      <w:marTop w:val="0"/>
      <w:marBottom w:val="0"/>
      <w:divBdr>
        <w:top w:val="none" w:sz="0" w:space="0" w:color="auto"/>
        <w:left w:val="none" w:sz="0" w:space="0" w:color="auto"/>
        <w:bottom w:val="none" w:sz="0" w:space="0" w:color="auto"/>
        <w:right w:val="none" w:sz="0" w:space="0" w:color="auto"/>
      </w:divBdr>
    </w:div>
    <w:div w:id="1838501429">
      <w:bodyDiv w:val="1"/>
      <w:marLeft w:val="0"/>
      <w:marRight w:val="0"/>
      <w:marTop w:val="0"/>
      <w:marBottom w:val="0"/>
      <w:divBdr>
        <w:top w:val="none" w:sz="0" w:space="0" w:color="auto"/>
        <w:left w:val="none" w:sz="0" w:space="0" w:color="auto"/>
        <w:bottom w:val="none" w:sz="0" w:space="0" w:color="auto"/>
        <w:right w:val="none" w:sz="0" w:space="0" w:color="auto"/>
      </w:divBdr>
    </w:div>
    <w:div w:id="1848057869">
      <w:bodyDiv w:val="1"/>
      <w:marLeft w:val="0"/>
      <w:marRight w:val="0"/>
      <w:marTop w:val="0"/>
      <w:marBottom w:val="0"/>
      <w:divBdr>
        <w:top w:val="none" w:sz="0" w:space="0" w:color="auto"/>
        <w:left w:val="none" w:sz="0" w:space="0" w:color="auto"/>
        <w:bottom w:val="none" w:sz="0" w:space="0" w:color="auto"/>
        <w:right w:val="none" w:sz="0" w:space="0" w:color="auto"/>
      </w:divBdr>
    </w:div>
    <w:div w:id="1884437184">
      <w:bodyDiv w:val="1"/>
      <w:marLeft w:val="0"/>
      <w:marRight w:val="0"/>
      <w:marTop w:val="0"/>
      <w:marBottom w:val="0"/>
      <w:divBdr>
        <w:top w:val="none" w:sz="0" w:space="0" w:color="auto"/>
        <w:left w:val="none" w:sz="0" w:space="0" w:color="auto"/>
        <w:bottom w:val="none" w:sz="0" w:space="0" w:color="auto"/>
        <w:right w:val="none" w:sz="0" w:space="0" w:color="auto"/>
      </w:divBdr>
    </w:div>
    <w:div w:id="1903522606">
      <w:bodyDiv w:val="1"/>
      <w:marLeft w:val="0"/>
      <w:marRight w:val="0"/>
      <w:marTop w:val="0"/>
      <w:marBottom w:val="0"/>
      <w:divBdr>
        <w:top w:val="none" w:sz="0" w:space="0" w:color="auto"/>
        <w:left w:val="none" w:sz="0" w:space="0" w:color="auto"/>
        <w:bottom w:val="none" w:sz="0" w:space="0" w:color="auto"/>
        <w:right w:val="none" w:sz="0" w:space="0" w:color="auto"/>
      </w:divBdr>
      <w:divsChild>
        <w:div w:id="1367945179">
          <w:marLeft w:val="446"/>
          <w:marRight w:val="0"/>
          <w:marTop w:val="0"/>
          <w:marBottom w:val="0"/>
          <w:divBdr>
            <w:top w:val="none" w:sz="0" w:space="0" w:color="auto"/>
            <w:left w:val="none" w:sz="0" w:space="0" w:color="auto"/>
            <w:bottom w:val="none" w:sz="0" w:space="0" w:color="auto"/>
            <w:right w:val="none" w:sz="0" w:space="0" w:color="auto"/>
          </w:divBdr>
        </w:div>
      </w:divsChild>
    </w:div>
    <w:div w:id="1906645201">
      <w:bodyDiv w:val="1"/>
      <w:marLeft w:val="0"/>
      <w:marRight w:val="0"/>
      <w:marTop w:val="0"/>
      <w:marBottom w:val="0"/>
      <w:divBdr>
        <w:top w:val="none" w:sz="0" w:space="0" w:color="auto"/>
        <w:left w:val="none" w:sz="0" w:space="0" w:color="auto"/>
        <w:bottom w:val="none" w:sz="0" w:space="0" w:color="auto"/>
        <w:right w:val="none" w:sz="0" w:space="0" w:color="auto"/>
      </w:divBdr>
    </w:div>
    <w:div w:id="1930892623">
      <w:bodyDiv w:val="1"/>
      <w:marLeft w:val="0"/>
      <w:marRight w:val="0"/>
      <w:marTop w:val="0"/>
      <w:marBottom w:val="0"/>
      <w:divBdr>
        <w:top w:val="none" w:sz="0" w:space="0" w:color="auto"/>
        <w:left w:val="none" w:sz="0" w:space="0" w:color="auto"/>
        <w:bottom w:val="none" w:sz="0" w:space="0" w:color="auto"/>
        <w:right w:val="none" w:sz="0" w:space="0" w:color="auto"/>
      </w:divBdr>
    </w:div>
    <w:div w:id="1947155560">
      <w:bodyDiv w:val="1"/>
      <w:marLeft w:val="0"/>
      <w:marRight w:val="0"/>
      <w:marTop w:val="0"/>
      <w:marBottom w:val="0"/>
      <w:divBdr>
        <w:top w:val="none" w:sz="0" w:space="0" w:color="auto"/>
        <w:left w:val="none" w:sz="0" w:space="0" w:color="auto"/>
        <w:bottom w:val="none" w:sz="0" w:space="0" w:color="auto"/>
        <w:right w:val="none" w:sz="0" w:space="0" w:color="auto"/>
      </w:divBdr>
    </w:div>
    <w:div w:id="1972400250">
      <w:bodyDiv w:val="1"/>
      <w:marLeft w:val="0"/>
      <w:marRight w:val="0"/>
      <w:marTop w:val="0"/>
      <w:marBottom w:val="0"/>
      <w:divBdr>
        <w:top w:val="none" w:sz="0" w:space="0" w:color="auto"/>
        <w:left w:val="none" w:sz="0" w:space="0" w:color="auto"/>
        <w:bottom w:val="none" w:sz="0" w:space="0" w:color="auto"/>
        <w:right w:val="none" w:sz="0" w:space="0" w:color="auto"/>
      </w:divBdr>
    </w:div>
    <w:div w:id="1979913192">
      <w:bodyDiv w:val="1"/>
      <w:marLeft w:val="0"/>
      <w:marRight w:val="0"/>
      <w:marTop w:val="0"/>
      <w:marBottom w:val="0"/>
      <w:divBdr>
        <w:top w:val="none" w:sz="0" w:space="0" w:color="auto"/>
        <w:left w:val="none" w:sz="0" w:space="0" w:color="auto"/>
        <w:bottom w:val="none" w:sz="0" w:space="0" w:color="auto"/>
        <w:right w:val="none" w:sz="0" w:space="0" w:color="auto"/>
      </w:divBdr>
    </w:div>
    <w:div w:id="1987204350">
      <w:bodyDiv w:val="1"/>
      <w:marLeft w:val="0"/>
      <w:marRight w:val="0"/>
      <w:marTop w:val="0"/>
      <w:marBottom w:val="0"/>
      <w:divBdr>
        <w:top w:val="none" w:sz="0" w:space="0" w:color="auto"/>
        <w:left w:val="none" w:sz="0" w:space="0" w:color="auto"/>
        <w:bottom w:val="none" w:sz="0" w:space="0" w:color="auto"/>
        <w:right w:val="none" w:sz="0" w:space="0" w:color="auto"/>
      </w:divBdr>
    </w:div>
    <w:div w:id="2037273667">
      <w:bodyDiv w:val="1"/>
      <w:marLeft w:val="0"/>
      <w:marRight w:val="0"/>
      <w:marTop w:val="0"/>
      <w:marBottom w:val="0"/>
      <w:divBdr>
        <w:top w:val="none" w:sz="0" w:space="0" w:color="auto"/>
        <w:left w:val="none" w:sz="0" w:space="0" w:color="auto"/>
        <w:bottom w:val="none" w:sz="0" w:space="0" w:color="auto"/>
        <w:right w:val="none" w:sz="0" w:space="0" w:color="auto"/>
      </w:divBdr>
    </w:div>
    <w:div w:id="2085033094">
      <w:bodyDiv w:val="1"/>
      <w:marLeft w:val="0"/>
      <w:marRight w:val="0"/>
      <w:marTop w:val="0"/>
      <w:marBottom w:val="0"/>
      <w:divBdr>
        <w:top w:val="none" w:sz="0" w:space="0" w:color="auto"/>
        <w:left w:val="none" w:sz="0" w:space="0" w:color="auto"/>
        <w:bottom w:val="none" w:sz="0" w:space="0" w:color="auto"/>
        <w:right w:val="none" w:sz="0" w:space="0" w:color="auto"/>
      </w:divBdr>
    </w:div>
    <w:div w:id="2097509642">
      <w:bodyDiv w:val="1"/>
      <w:marLeft w:val="0"/>
      <w:marRight w:val="0"/>
      <w:marTop w:val="0"/>
      <w:marBottom w:val="0"/>
      <w:divBdr>
        <w:top w:val="none" w:sz="0" w:space="0" w:color="auto"/>
        <w:left w:val="none" w:sz="0" w:space="0" w:color="auto"/>
        <w:bottom w:val="none" w:sz="0" w:space="0" w:color="auto"/>
        <w:right w:val="none" w:sz="0" w:space="0" w:color="auto"/>
      </w:divBdr>
    </w:div>
    <w:div w:id="2116630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fao.org/gender-landrights-database/data-map/statistics/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legifrance.gouv.fr/affichTexteArticle.do;jsessionid=21DA156D03F67912DCBDF1817B664FB7.tplgfr31s_1?cidTexte=JORFTEXT000032433852&amp;idArticle=LEGIARTI000032435384&amp;dateTexte=20160421&amp;categorieLien=id"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europarl.europa.eu/RegData/etudes/BRIE/2019/635548/EPRS_BRI(2019)635548_EN.pdf" TargetMode="External"/><Relationship Id="rId13" Type="http://schemas.openxmlformats.org/officeDocument/2006/relationships/hyperlink" Target="http://awenetwork.org/wp-content/uploads/2017/01/SKGJB-EN-web.pdf" TargetMode="External"/><Relationship Id="rId3" Type="http://schemas.openxmlformats.org/officeDocument/2006/relationships/hyperlink" Target="http://www.euralius.eu/index.php/en/library/albanian-legislation/category/4-registration-of-property" TargetMode="External"/><Relationship Id="rId7" Type="http://schemas.openxmlformats.org/officeDocument/2006/relationships/hyperlink" Target="https://doi.org/10.1787/9789264210745-en" TargetMode="External"/><Relationship Id="rId12" Type="http://schemas.openxmlformats.org/officeDocument/2006/relationships/hyperlink" Target="http://www.europarl.europa.eu/RegData/etudes/IDAN/2015/510024/IPOL_IDA(2015)510024_EN.pdf" TargetMode="External"/><Relationship Id="rId2" Type="http://schemas.openxmlformats.org/officeDocument/2006/relationships/hyperlink" Target="https://www.legifrance.gouv.fr/affichTexte.do;jsessionid=A283979FA4D02174D482C497E8CC360B.tpdila15v_1?cidTexte=JORFTEXT000000850274&amp;dateTexte=20161201" TargetMode="External"/><Relationship Id="rId16" Type="http://schemas.openxmlformats.org/officeDocument/2006/relationships/hyperlink" Target="http://arsbih.gov.ba/wp-content/uploads/2014/02/GEL_32_10_E.pdf" TargetMode="External"/><Relationship Id="rId1" Type="http://schemas.openxmlformats.org/officeDocument/2006/relationships/hyperlink" Target="https://wbg.org.uk/wp-content/uploads/2015/02/Gender-and-Poverty-Briefing-June-2015.pdf" TargetMode="External"/><Relationship Id="rId6" Type="http://schemas.openxmlformats.org/officeDocument/2006/relationships/hyperlink" Target="http://www.rgz.gov.rs/web_preuzimanje_datotetka.asp?FileID=2423" TargetMode="External"/><Relationship Id="rId11" Type="http://schemas.openxmlformats.org/officeDocument/2006/relationships/hyperlink" Target="https://www.legifrance.gouv.fr/affichTexte.do?cidTexte=JORFTEXT000025489865" TargetMode="External"/><Relationship Id="rId5" Type="http://schemas.openxmlformats.org/officeDocument/2006/relationships/hyperlink" Target="http://www.rgz.gov.rs/web_preuzimanje_datotetka.asp?FileID=1792" TargetMode="External"/><Relationship Id="rId15" Type="http://schemas.openxmlformats.org/officeDocument/2006/relationships/hyperlink" Target="http://arsbih.gov.ba/wp-content/uploads/2014/02/GAP_BIH_ENGLISH.pdf" TargetMode="External"/><Relationship Id="rId10" Type="http://schemas.openxmlformats.org/officeDocument/2006/relationships/hyperlink" Target="https://stats.oecd.org/index.aspx?queryid=79616" TargetMode="External"/><Relationship Id="rId4" Type="http://schemas.openxmlformats.org/officeDocument/2006/relationships/hyperlink" Target="http://www.paragraf.rs/propisi/porodicni_zakon.html" TargetMode="External"/><Relationship Id="rId9" Type="http://schemas.openxmlformats.org/officeDocument/2006/relationships/hyperlink" Target="http://www.pisrs.si/Pis.web/pregledPredpisa?id=SKLE4452" TargetMode="External"/><Relationship Id="rId14" Type="http://schemas.openxmlformats.org/officeDocument/2006/relationships/hyperlink" Target="https://www.ecoi.net/file_upload/1226_1312365250_albania-law-gender-equality-in-society-24-07-2008-en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15CED-62B2-4328-968E-58FF016B6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16</Pages>
  <Words>5171</Words>
  <Characters>29478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Gilleri, Giovanna (ESPD)</dc:creator>
  <cp:lastModifiedBy>Gennari, Pietro (OCS)</cp:lastModifiedBy>
  <cp:revision>3</cp:revision>
  <cp:lastPrinted>2016-11-03T16:24:00Z</cp:lastPrinted>
  <dcterms:created xsi:type="dcterms:W3CDTF">2019-07-08T07:42:00Z</dcterms:created>
  <dcterms:modified xsi:type="dcterms:W3CDTF">2019-07-09T10:13:00Z</dcterms:modified>
</cp:coreProperties>
</file>